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2017 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601" w:type="dxa"/>
        <w:tblW w:w="161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552"/>
        <w:gridCol w:w="1417"/>
        <w:gridCol w:w="810"/>
        <w:gridCol w:w="2026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лица, замещающего должность</w:t>
            </w:r>
          </w:p>
        </w:tc>
        <w:tc>
          <w:tcPr>
            <w:tcW w:type="dxa" w:w="1417"/>
            <w:tcBorders>
              <w:left w:val="nil"/>
              <w:top w:color="000000" w:sz="8" w:val="single"/>
              <w:right w:val="nil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496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1044" w:hRule="atLeast"/>
        </w:trPr>
        <w:tc>
          <w:tcPr>
            <w:vMerge w:val="continue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tcW w:type="dxa" w:w="20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1134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tcW w:type="dxa" w:w="21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99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Ваничева Валентина Анатольевна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Заведующая отделом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558894,40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37,6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21010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629744,33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Виноградова Ольга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заведующей отдела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1/6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443620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1/6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750012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Opel Zafira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МТЗ-80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620826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Костиков Александр Александрович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49,1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Chance 1,3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422687,63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120612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Свинухова Елена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Lanos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306644,92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101664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Трюхова Елена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325227,21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1018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" w:name="OLE_LINK5"/>
            <w:r>
              <w:rPr>
                <w:rFonts w:ascii="Times New Roman" w:eastAsia="Times New Roman" w:hAnsi="Times New Roman" w:cs="Times New Roman"/>
                <w:sz w:val="22"/>
              </w:rPr>
              <w:t xml:space="preserve">Chevrolet Niva</w:t>
            </w:r>
            <w:bookmarkEnd w:id="1"/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638611,48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2" w:name="_Hlk45022616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Чуенкова Валентина Ивановна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250747,85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0,65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Niva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289540,61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Корабельникова Алла Леонидовна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1/5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305411,55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1/5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1763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Shcoda Octavia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423889,25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Мирешко 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Комната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19,5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322454,08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Сиротина Раиса Валентиновна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10,6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94,2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552062,55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Кузнецова Виктория Евгеньевна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260075,03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3" w:name="_Hlk45022797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617523,32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4" w:name="_Hlk450228122"/>
            <w:r>
              <w:rPr>
                <w:rFonts w:ascii="Times New Roman" w:eastAsia="Times New Roman" w:hAnsi="Times New Roman" w:cs="Times New Roman"/>
                <w:sz w:val="22"/>
              </w:rPr>
              <w:t xml:space="preserve">Кузнецова Анна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260824,87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4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150620,93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Куракина Татьяна Федоровна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5" w:name="OLE_LINK12"/>
            <w:bookmarkStart w:id="6" w:name="OLE_LINK1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  <w:bookmarkEnd w:id="5"/>
            <w:bookmarkEnd w:id="6"/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7" w:name="OLE_LINK14"/>
            <w:bookmarkStart w:id="8" w:name="OLE_LINK1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65,5</w:t>
            </w:r>
            <w:bookmarkEnd w:id="7"/>
            <w:bookmarkEnd w:id="8"/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419982,76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Собчук Людмила Ивановна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301594,87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Лада 21540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348000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Лебедева Людмила Викторовна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444392,81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851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117</TotalTime>
  <Pages>3</Pages>
  <Words>574</Words>
  <Characters>3491</Characters>
  <CharactersWithSpaces>4057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