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tbl>
      <w:tblPr>
        <w:tblW w:type="dxa" w:w="15276"/>
        <w:tblLook w:val="04a0"/>
        <w:tblW w:type="dxa" w:w="15276"/>
        <w:tblpPr w:horzAnchor="margin" w:leftFromText="180" w:rightFromText="180" w:tblpX="-459" w:tblpY="-574" w:vertAnchor="tex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1951"/>
        <w:gridCol w:w="2126"/>
        <w:gridCol w:w="2127"/>
        <w:gridCol w:w="1134"/>
        <w:gridCol w:w="992"/>
        <w:gridCol w:w="1276"/>
        <w:gridCol w:w="1134"/>
        <w:gridCol w:w="1276"/>
        <w:gridCol w:w="1843"/>
        <w:gridCol w:w="1417"/>
      </w:tblGrid>
      <w:tr>
        <w:trPr>
          <w:trHeight w:hRule="atLeast" w:val="570"/>
          <w:wAfter w:type="dxa" w:w="0"/>
          <w:cantSplit/>
          <w:trHeight w:hRule="atLeast" w:val="570"/>
          <w:wAfter w:type="dxa" w:w="0"/>
        </w:trPr>
        <w:tc>
          <w:tcPr>
            <w:textDirection w:val="lrTb"/>
            <w:vMerge w:val="restart"/>
            <w:vAlign w:val="top"/>
            <w:tcW w:type="dxa" w:w="1951"/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b/>
                <w:rFonts w:ascii="Times New Roman" w:hAnsi="Times New Roman"/>
              </w:rPr>
              <w:t xml:space="preserve">Фамилия  и</w:t>
            </w:r>
            <w:r w:rsidR="00f301e4" w:rsidRPr="002020f4">
              <w:rPr>
                <w:b/>
                <w:rFonts w:ascii="Times New Roman" w:hAnsi="Times New Roman"/>
              </w:rPr>
              <w:t xml:space="preserve">мя</w:t>
            </w:r>
            <w:r w:rsidR="005c0be2" w:rsidRPr="002020f4">
              <w:rPr>
                <w:b/>
                <w:rFonts w:ascii="Times New Roman" w:hAnsi="Times New Roman"/>
              </w:rPr>
              <w:t xml:space="preserve"> </w:t>
            </w:r>
            <w:r w:rsidR="00f301e4" w:rsidRPr="002020f4">
              <w:rPr>
                <w:b/>
                <w:rFonts w:ascii="Times New Roman" w:hAnsi="Times New Roman"/>
              </w:rPr>
              <w:t xml:space="preserve">отчество</w:t>
            </w:r>
            <w:r w:rsidR="005c0be2" w:rsidRPr="002020f4">
              <w:rPr>
                <w:b/>
                <w:rFonts w:ascii="Times New Roman" w:hAnsi="Times New Roman"/>
              </w:rPr>
              <w:t xml:space="preserve"> депутата</w:t>
            </w:r>
          </w:p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b/>
                <w:rFonts w:ascii="Times New Roman" w:hAnsi="Times New Roman"/>
              </w:rPr>
              <w:t xml:space="preserve">Районного Собрания</w:t>
            </w:r>
          </w:p>
          <w:p w:rsidP="00cf512e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6379"/>
            <w:gridSpan w:val="4"/>
            <w:tcBorders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b/>
                <w:rFonts w:ascii="Times New Roman" w:hAnsi="Times New Roman"/>
              </w:rPr>
              <w:t xml:space="preserve">Объекты недвижимости,</w:t>
            </w:r>
          </w:p>
          <w:p w:rsidP="00cf512e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b/>
                <w:rFonts w:ascii="Times New Roman" w:hAnsi="Times New Roman"/>
              </w:rPr>
              <w:t xml:space="preserve">находящиеся в собственности</w:t>
            </w:r>
            <w:r w:rsidR="005c0be2" w:rsidRPr="002020f4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3686"/>
            <w:gridSpan w:val="3"/>
            <w:tcBorders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b/>
                <w:rFonts w:ascii="Times New Roman" w:hAnsi="Times New Roman"/>
              </w:rPr>
              <w:t xml:space="preserve">Объекты недвижимости, находящиеся в пользовании</w:t>
            </w:r>
          </w:p>
        </w:tc>
        <w:tc>
          <w:tcPr>
            <w:textDirection w:val="lrTb"/>
            <w:vMerge w:val="restart"/>
            <w:vAlign w:val="top"/>
            <w:tcW w:type="dxa" w:w="1843"/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Транспортные средства </w:t>
            </w:r>
          </w:p>
          <w:p w:rsidP="00cf512e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(вид, марка)</w:t>
            </w:r>
            <w:r w:rsidR="005c0be2" w:rsidRPr="002020f4">
              <w:rPr>
                <w:rFonts w:ascii="Times New Roman" w:hAnsi="Times New Roman"/>
              </w:rPr>
            </w:r>
          </w:p>
        </w:tc>
        <w:tc>
          <w:tcPr>
            <w:textDirection w:val="lrTb"/>
            <w:vMerge w:val="restart"/>
            <w:vAlign w:val="top"/>
            <w:tcW w:type="dxa" w:w="1417"/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Декларированный доход (руб.)</w:t>
            </w:r>
          </w:p>
        </w:tc>
      </w:tr>
      <w:tr>
        <w:trPr>
          <w:trHeight w:hRule="atLeast" w:val="450"/>
          <w:wAfter w:type="dxa" w:w="0"/>
          <w:cantSplit/>
          <w:trHeight w:hRule="atLeast" w:val="450"/>
          <w:wAfter w:type="dxa" w:w="0"/>
        </w:trPr>
        <w:tc>
          <w:tcPr>
            <w:textDirection w:val="lrTb"/>
            <w:vMerge w:val="continue"/>
            <w:vAlign w:val="top"/>
            <w:tcW w:type="dxa" w:w="1951"/>
          </w:tcPr>
          <w:p w:rsidP="00cf512e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c0be2" w:rsidRPr="002020f4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Вид</w:t>
            </w:r>
          </w:p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объекта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Вид собственности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Площадь</w:t>
            </w:r>
          </w:p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(кв.м)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b/>
                <w:rFonts w:ascii="Times New Roman" w:hAnsi="Times New Roman"/>
              </w:rPr>
              <w:t xml:space="preserve">Страна расположения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cf512e" w:rsidRPr="002020f4">
              <w:rPr>
                <w:b/>
                <w:rFonts w:ascii="Times New Roman" w:hAnsi="Times New Roman"/>
              </w:rPr>
              <w:t xml:space="preserve">Вид</w:t>
            </w:r>
            <w:r w:rsidR="005c0be2" w:rsidRPr="002020f4">
              <w:rPr>
                <w:b/>
                <w:rFonts w:ascii="Times New Roman" w:hAnsi="Times New Roman"/>
              </w:rPr>
            </w:r>
          </w:p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cf512e" w:rsidRPr="002020f4">
              <w:rPr>
                <w:b/>
                <w:rFonts w:ascii="Times New Roman" w:hAnsi="Times New Roman"/>
              </w:rPr>
              <w:t xml:space="preserve">объекта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cf512e" w:rsidRPr="002020f4">
              <w:rPr>
                <w:b/>
                <w:rFonts w:ascii="Times New Roman" w:hAnsi="Times New Roman"/>
              </w:rPr>
              <w:t xml:space="preserve">Площадь</w:t>
            </w:r>
            <w:r w:rsidR="005c0be2" w:rsidRPr="002020f4">
              <w:rPr>
                <w:b/>
                <w:rFonts w:ascii="Times New Roman" w:hAnsi="Times New Roman"/>
              </w:rPr>
            </w:r>
          </w:p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cf512e" w:rsidRPr="002020f4">
              <w:rPr>
                <w:b/>
                <w:rFonts w:ascii="Times New Roman" w:hAnsi="Times New Roman"/>
              </w:rPr>
              <w:t xml:space="preserve">(кв.м)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cf512e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cf512e" w:rsidRPr="002020f4">
              <w:rPr>
                <w:b/>
                <w:rFonts w:ascii="Times New Roman" w:hAnsi="Times New Roman"/>
              </w:rPr>
              <w:t xml:space="preserve">Страна расположения</w:t>
            </w:r>
            <w:r w:rsidR="005c0be2" w:rsidRPr="002020f4">
              <w:rPr>
                <w:b/>
                <w:rFonts w:ascii="Times New Roman" w:hAnsi="Times New Roman"/>
              </w:rPr>
            </w:r>
          </w:p>
        </w:tc>
        <w:tc>
          <w:tcPr>
            <w:textDirection w:val="lrTb"/>
            <w:vMerge w:val="continue"/>
            <w:vAlign w:val="top"/>
            <w:tcW w:type="dxa" w:w="1843"/>
          </w:tcPr>
          <w:p w:rsidP="00cf512e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rFonts w:ascii="Times New Roman" w:hAnsi="Times New Roman"/>
              </w:rPr>
            </w:r>
          </w:p>
        </w:tc>
        <w:tc>
          <w:tcPr>
            <w:textDirection w:val="lrTb"/>
            <w:vMerge w:val="continue"/>
            <w:vAlign w:val="top"/>
            <w:tcW w:type="dxa" w:w="1417"/>
          </w:tcPr>
          <w:p w:rsidP="00cf512e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5c0be2" w:rsidRPr="002020f4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e63fd4">
              <w:rPr>
                <w:b/>
                <w:rFonts w:ascii="Times New Roman" w:hAnsi="Times New Roman"/>
              </w:rPr>
              <w:t xml:space="preserve">Данилевская Марина Шаховна</w:t>
            </w:r>
            <w:r w:rsidR="00ae074b" w:rsidRPr="00e63fd4">
              <w:rPr>
                <w:b/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Заведующий отделом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Земельный участок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Земельный участок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Индивидуальная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Индивидуальная</w:t>
            </w:r>
          </w:p>
          <w:p w:rsidP="008c2ed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Общая долевая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3000,0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1500,0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68,0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Россия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Хендай Солярис, 2011</w:t>
            </w: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6975b8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807653,08</w:t>
            </w:r>
            <w:r w:rsidR="00ae074b" w:rsidRPr="008c2edb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Супруг</w:t>
            </w: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Земельный участок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Земельный участок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Индивидуальная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8c2edb" w:rsidRPr="008c2edb">
              <w:rPr>
                <w:rFonts w:ascii="Times New Roman" w:hAnsi="Times New Roman"/>
              </w:rPr>
              <w:t xml:space="preserve">Общая долевая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280100,0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150,0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68,0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Россия</w:t>
            </w:r>
            <w:r w:rsidR="00ae074b" w:rsidRPr="008c2edb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8c2edb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8c2edb" w:rsidRPr="008c2edb">
              <w:rPr>
                <w:rFonts w:ascii="Times New Roman" w:hAnsi="Times New Roman"/>
              </w:rPr>
              <w:t xml:space="preserve">0</w:t>
            </w:r>
            <w:r w:rsidR="00ae074b" w:rsidRPr="008c2edb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7f67c0" w:rsidRPr="00b64215">
              <w:rPr>
                <w:b/>
                <w:rFonts w:ascii="Times New Roman" w:hAnsi="Times New Roman"/>
              </w:rPr>
              <w:t xml:space="preserve">Петрова Инна Владимировна</w:t>
            </w:r>
            <w:r w:rsidR="007f67c0" w:rsidRPr="00b64215">
              <w:rPr>
                <w:rFonts w:ascii="Times New Roman" w:hAnsi="Times New Roman"/>
              </w:rPr>
              <w:t xml:space="preserve"> заместитель заведующего отделом</w:t>
            </w: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- квартира</w:t>
            </w: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- квартира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Индивидуальная</w:t>
            </w: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Индивидуальная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51,2</w:t>
            </w: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38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270a57">
            <w:pPr>
              <w:pStyle w:val="Normal"/>
              <w:rPr>
                <w:rFonts w:ascii="Times New Roman" w:hAnsi="Times New Roman"/>
              </w:rPr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Россия</w:t>
            </w:r>
          </w:p>
          <w:p w:rsidP="00270a57">
            <w:pPr>
              <w:pStyle w:val="Normal"/>
              <w:rPr>
                <w:rFonts w:ascii="Times New Roman" w:hAnsi="Times New Roman"/>
              </w:rPr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-</w:t>
            </w: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-</w:t>
            </w: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-</w:t>
            </w: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270a57" w:rsidRPr="00b64215">
              <w:rPr>
                <w:rFonts w:ascii="Times New Roman" w:hAnsi="Times New Roman"/>
              </w:rPr>
              <w:t xml:space="preserve">-</w:t>
            </w: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215" w:rsidRPr="00b64215">
              <w:rPr>
                <w:rFonts w:ascii="Times New Roman" w:hAnsi="Times New Roman"/>
              </w:rPr>
              <w:t xml:space="preserve">6</w:t>
            </w:r>
            <w:r w:rsidR="00d72c5f">
              <w:rPr>
                <w:rFonts w:ascii="Times New Roman" w:hAnsi="Times New Roman"/>
              </w:rPr>
              <w:t xml:space="preserve">85132,87</w:t>
            </w:r>
            <w:r w:rsidR="00ae074b" w:rsidRPr="00b64215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b/>
                <w:rFonts w:ascii="Times New Roman" w:hAnsi="Times New Roman"/>
              </w:rPr>
              <w:t xml:space="preserve">Гладилова 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b/>
                <w:rFonts w:ascii="Times New Roman" w:hAnsi="Times New Roman"/>
              </w:rPr>
              <w:t xml:space="preserve">Наталья Викторовна</w:t>
            </w:r>
            <w:r w:rsidR="00ae074b" w:rsidRPr="0054597a">
              <w:rPr>
                <w:rFonts w:ascii="Times New Roman" w:hAnsi="Times New Roman"/>
              </w:rPr>
              <w:t xml:space="preserve"> начальник структурного подразделения 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Квартира 1/6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Долевая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66,1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0e037d" w:rsidRPr="0054597a">
              <w:rPr>
                <w:rFonts w:ascii="Times New Roman" w:hAnsi="Times New Roman"/>
              </w:rPr>
              <w:t xml:space="preserve">Хендай Ассент</w:t>
            </w:r>
            <w:r w:rsidR="00ae074b" w:rsidRPr="0054597a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560">
              <w:rPr>
                <w:rFonts w:ascii="Times New Roman" w:hAnsi="Times New Roman"/>
              </w:rPr>
              <w:t xml:space="preserve">620821,93</w:t>
            </w:r>
            <w:r w:rsidR="00ae074b" w:rsidRPr="0054597a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Несовершеннолетний ребенок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66,1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b/>
                <w:rFonts w:ascii="Times New Roman" w:hAnsi="Times New Roman"/>
              </w:rPr>
              <w:t xml:space="preserve">Чекарева</w:t>
            </w:r>
          </w:p>
          <w:p w:rsidP="00ae074b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b/>
                <w:rFonts w:ascii="Times New Roman" w:hAnsi="Times New Roman"/>
              </w:rPr>
              <w:t xml:space="preserve"> Ирина Владимировна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Ведущий специалист 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d72c5f">
              <w:rPr>
                <w:rFonts w:ascii="Times New Roman" w:hAnsi="Times New Roman"/>
              </w:rPr>
              <w:t xml:space="preserve">63</w:t>
            </w:r>
            <w:r w:rsidR="0054597a" w:rsidRPr="0054597a">
              <w:rPr>
                <w:rFonts w:ascii="Times New Roman" w:hAnsi="Times New Roman"/>
              </w:rPr>
              <w:t xml:space="preserve">,</w:t>
            </w:r>
            <w:r w:rsidR="00d72c5f">
              <w:rPr>
                <w:rFonts w:ascii="Times New Roman" w:hAnsi="Times New Roman"/>
              </w:rPr>
              <w:t xml:space="preserve">2</w:t>
            </w:r>
            <w:r w:rsidR="00ae074b" w:rsidRPr="0054597a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d72c5f">
              <w:rPr>
                <w:rFonts w:ascii="Times New Roman" w:hAnsi="Times New Roman"/>
              </w:rPr>
              <w:t xml:space="preserve">Мицубиси</w:t>
            </w:r>
            <w:r w:rsidR="00ae074b" w:rsidRPr="0054597a">
              <w:rPr>
                <w:rFonts w:ascii="Times New Roman" w:hAnsi="Times New Roman"/>
              </w:rPr>
              <w:t xml:space="preserve">-</w:t>
            </w:r>
            <w:r w:rsidR="00d72c5f">
              <w:rPr>
                <w:lang w:val="en-US"/>
                <w:rFonts w:ascii="Times New Roman" w:hAnsi="Times New Roman"/>
              </w:rPr>
              <w:t xml:space="preserve">lancer 2.0 2007</w:t>
            </w:r>
            <w:r w:rsidR="00d72c5f">
              <w:rPr>
                <w:rFonts w:ascii="Times New Roman" w:hAnsi="Times New Roman"/>
              </w:rPr>
              <w:t xml:space="preserve">г</w:t>
            </w:r>
            <w:r w:rsidR="00ae074b" w:rsidRPr="00d72c5f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4597a" w:rsidRPr="0054597a">
              <w:rPr>
                <w:rFonts w:ascii="Times New Roman" w:hAnsi="Times New Roman"/>
              </w:rPr>
              <w:t xml:space="preserve">3</w:t>
            </w:r>
            <w:r w:rsidR="00d72c5f">
              <w:rPr>
                <w:rFonts w:ascii="Times New Roman" w:hAnsi="Times New Roman"/>
              </w:rPr>
              <w:t xml:space="preserve">80409,61</w:t>
            </w:r>
            <w:r w:rsidR="00ae074b" w:rsidRPr="0054597a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Несовершеннолетний ребенок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Квартира 1/3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Долевая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3446f" w:rsidRPr="0054597a">
              <w:rPr>
                <w:rFonts w:ascii="Times New Roman" w:hAnsi="Times New Roman"/>
              </w:rPr>
              <w:t xml:space="preserve">6</w:t>
            </w:r>
            <w:r w:rsidR="0054597a" w:rsidRPr="0054597a">
              <w:rPr>
                <w:rFonts w:ascii="Times New Roman" w:hAnsi="Times New Roman"/>
              </w:rPr>
              <w:t xml:space="preserve">2,3</w:t>
            </w:r>
            <w:r w:rsidR="00ae074b" w:rsidRPr="0054597a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 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4597a" w:rsidRPr="0054597a">
              <w:rPr>
                <w:rFonts w:ascii="Times New Roman" w:hAnsi="Times New Roman"/>
              </w:rPr>
              <w:t xml:space="preserve">16</w:t>
            </w:r>
            <w:r w:rsidR="00d72c5f">
              <w:rPr>
                <w:rFonts w:ascii="Times New Roman" w:hAnsi="Times New Roman"/>
              </w:rPr>
              <w:t xml:space="preserve">655,56</w:t>
            </w:r>
            <w:r w:rsidR="00ae074b" w:rsidRPr="0054597a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b/>
                <w:rFonts w:ascii="Times New Roman" w:hAnsi="Times New Roman"/>
              </w:rPr>
              <w:t xml:space="preserve">Ашухина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b/>
                <w:rFonts w:ascii="Times New Roman" w:hAnsi="Times New Roman"/>
              </w:rPr>
              <w:t xml:space="preserve">Лариса Анатольевна</w:t>
            </w:r>
            <w:r w:rsidR="00ae074b" w:rsidRPr="0054597a"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Квартира 1/2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Долевая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52,6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4597a" w:rsidRPr="0054597a">
              <w:rPr>
                <w:rFonts w:ascii="Times New Roman" w:hAnsi="Times New Roman"/>
              </w:rPr>
              <w:t xml:space="preserve">569831,70</w:t>
            </w:r>
            <w:r w:rsidR="00ae074b" w:rsidRPr="0054597a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супруг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54597a">
              <w:rPr>
                <w:rFonts w:ascii="Times New Roman" w:hAnsi="Times New Roman"/>
              </w:rPr>
              <w:t xml:space="preserve">Земельные участки: - под гаражом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54597a">
              <w:rPr>
                <w:rFonts w:ascii="Times New Roman" w:hAnsi="Times New Roman"/>
              </w:rPr>
              <w:t xml:space="preserve">- Гараж- бокс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Индивидуальная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24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22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52,6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ВАЗ 2106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54597a">
              <w:rPr>
                <w:rFonts w:ascii="Times New Roman" w:hAnsi="Times New Roman"/>
              </w:rPr>
              <w:t xml:space="preserve">Ситроен «Берлинго» 2012</w:t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54597a" w:rsidRPr="0054597a">
              <w:rPr>
                <w:rFonts w:ascii="Times New Roman" w:hAnsi="Times New Roman"/>
              </w:rPr>
              <w:t xml:space="preserve">156237,84</w:t>
            </w:r>
            <w:r w:rsidR="00ae074b" w:rsidRPr="0054597a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b/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b/>
                <w:rFonts w:ascii="Times New Roman" w:hAnsi="Times New Roman"/>
              </w:rPr>
              <w:t xml:space="preserve">Прядка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b/>
                <w:rFonts w:ascii="Times New Roman" w:hAnsi="Times New Roman"/>
              </w:rPr>
              <w:t xml:space="preserve">Ирина Викторовна</w:t>
            </w:r>
            <w:r w:rsidR="00ae074b" w:rsidRPr="00b64215"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Земельные участки: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b64215">
              <w:rPr>
                <w:rFonts w:ascii="Times New Roman" w:hAnsi="Times New Roman"/>
              </w:rPr>
              <w:t xml:space="preserve">-ЛПХ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b64215">
              <w:rPr>
                <w:rFonts w:ascii="Times New Roman" w:hAnsi="Times New Roman"/>
              </w:rPr>
              <w:t xml:space="preserve">-ЛПХ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b64215">
              <w:rPr>
                <w:rFonts w:ascii="Times New Roman" w:hAnsi="Times New Roman"/>
              </w:rPr>
              <w:t xml:space="preserve">-для строит. гаража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b64215">
              <w:rPr>
                <w:rFonts w:ascii="Times New Roman" w:hAnsi="Times New Roman"/>
              </w:rPr>
              <w:t xml:space="preserve">Дом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b64215">
              <w:rPr>
                <w:rFonts w:ascii="Times New Roman" w:hAnsi="Times New Roman"/>
              </w:rPr>
              <w:t xml:space="preserve"> Гараж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ae074b" w:rsidRPr="00b64215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Индивидуальная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10</w:t>
            </w:r>
            <w:r w:rsidR="00b3446f" w:rsidRPr="00b64215">
              <w:rPr>
                <w:rFonts w:ascii="Times New Roman" w:hAnsi="Times New Roman"/>
              </w:rPr>
              <w:t xml:space="preserve">47</w:t>
            </w: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1200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30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135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30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43,2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215" w:rsidRPr="00b64215">
              <w:rPr>
                <w:sz w:val="20"/>
                <w:szCs w:val="20"/>
                <w:shd w:color="auto" w:fill="ffffff" w:val="clear"/>
                <w:rFonts w:ascii="Arial" w:hAnsi="Arial"/>
              </w:rPr>
              <w:t xml:space="preserve">5</w:t>
            </w:r>
            <w:r w:rsidR="00b15ca5">
              <w:rPr>
                <w:sz w:val="20"/>
                <w:szCs w:val="20"/>
                <w:shd w:color="auto" w:fill="ffffff" w:val="clear"/>
                <w:rFonts w:ascii="Arial" w:hAnsi="Arial"/>
              </w:rPr>
              <w:t xml:space="preserve">78059,05</w:t>
            </w:r>
            <w:r w:rsidR="00ae074b" w:rsidRPr="00b64215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супруг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Квартира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Гараж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43,2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30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Россия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c5609" w:rsidRPr="00b64215">
              <w:rPr>
                <w:rFonts w:ascii="Times New Roman" w:hAnsi="Times New Roman"/>
              </w:rPr>
              <w:t xml:space="preserve">ВАЗ-2107</w:t>
            </w:r>
          </w:p>
        </w:tc>
        <w:tc>
          <w:tcPr>
            <w:textDirection w:val="lrTb"/>
            <w:vAlign w:val="center"/>
            <w:tcW w:type="dxa" w:w="1417"/>
          </w:tcPr>
          <w:p w:rsidP="00b64215">
            <w:pPr>
              <w:pStyle w:val="StGen3"/>
              <w:rPr>
                <w:sz w:val="20"/>
                <w:szCs w:val="20"/>
                <w:rFonts w:ascii="Arial" w:hAnsi="Arial"/>
              </w:rPr>
            </w:pPr>
            <w:r w:rsidR="00ac5609" w:rsidRPr="00b64215">
              <w:rPr>
                <w:sz w:val="20"/>
                <w:szCs w:val="20"/>
                <w:rFonts w:ascii="Arial" w:hAnsi="Arial"/>
              </w:rPr>
              <w:br w:clear="all" w:type="textWrapping"/>
            </w:r>
            <w:r w:rsidR="00b64215" w:rsidRPr="00b64215">
              <w:rPr>
                <w:sz w:val="20"/>
                <w:szCs w:val="20"/>
                <w:rFonts w:ascii="Arial" w:hAnsi="Arial"/>
              </w:rPr>
              <w:t xml:space="preserve">3</w:t>
            </w:r>
            <w:r w:rsidR="00b15ca5">
              <w:rPr>
                <w:sz w:val="20"/>
                <w:szCs w:val="20"/>
                <w:rFonts w:ascii="Arial" w:hAnsi="Arial"/>
              </w:rPr>
              <w:t xml:space="preserve">43259,07</w:t>
            </w:r>
            <w:r w:rsidR="00ac5609" w:rsidRPr="00b64215">
              <w:rPr>
                <w:sz w:val="20"/>
                <w:szCs w:val="20"/>
                <w:rFonts w:ascii="Arial" w:hAnsi="Arial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Несовершеннолетний ребенок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Квартира</w:t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43,2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843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  <w:tc>
          <w:tcPr>
            <w:textDirection w:val="lrTb"/>
            <w:vAlign w:val="top"/>
            <w:tcW w:type="dxa" w:w="1417"/>
          </w:tcPr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</w:r>
          </w:p>
          <w:p w:rsidP="00ae074b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ae074b" w:rsidRPr="00b64215">
              <w:rPr>
                <w:rFonts w:ascii="Times New Roman" w:hAnsi="Times New Roman"/>
              </w:rPr>
              <w:t xml:space="preserve">-</w:t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307850" w:rsidRPr="00b64215">
              <w:rPr>
                <w:b/>
                <w:rFonts w:ascii="Times New Roman" w:hAnsi="Times New Roman"/>
              </w:rPr>
              <w:t xml:space="preserve">Лысакова Яна Михайловна</w:t>
            </w:r>
            <w:r w:rsidR="00307850" w:rsidRPr="00b64215">
              <w:rPr>
                <w:rFonts w:ascii="Times New Roman" w:hAnsi="Times New Roman"/>
              </w:rPr>
              <w:t xml:space="preserve"> ведущий специалист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  <w:t xml:space="preserve">Квартира</w:t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560" w:rsidRPr="00b64215">
              <w:rPr>
                <w:rFonts w:ascii="Times New Roman" w:hAnsi="Times New Roman"/>
              </w:rPr>
              <w:t xml:space="preserve">К</w:t>
            </w:r>
            <w:r w:rsidR="00307850" w:rsidRPr="00b64215">
              <w:rPr>
                <w:rFonts w:ascii="Times New Roman" w:hAnsi="Times New Roman"/>
              </w:rPr>
              <w:t xml:space="preserve">вартира</w:t>
            </w:r>
            <w:r w:rsidR="00307850">
              <w:rPr>
                <w:rFonts w:ascii="Times New Roman" w:hAnsi="Times New Roman"/>
              </w:rPr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560">
              <w:rPr>
                <w:rFonts w:ascii="Times New Roman" w:hAnsi="Times New Roman"/>
              </w:rPr>
              <w:t xml:space="preserve">Квартира</w:t>
            </w:r>
            <w:r w:rsidR="00b6456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Общая долевая ½</w:t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Общая долевая 1/3 </w:t>
            </w:r>
            <w:r w:rsidR="00307850">
              <w:rPr>
                <w:rFonts w:ascii="Times New Roman" w:hAnsi="Times New Roman"/>
              </w:rPr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b64560">
              <w:rPr>
                <w:rFonts w:ascii="Times New Roman" w:hAnsi="Times New Roman"/>
              </w:rPr>
              <w:t xml:space="preserve">Общая долевая 1/3</w:t>
            </w:r>
            <w:r w:rsidR="00b6456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44,4</w:t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30,9</w:t>
            </w:r>
            <w:r w:rsidR="00307850">
              <w:rPr>
                <w:rFonts w:ascii="Times New Roman" w:hAnsi="Times New Roman"/>
              </w:rPr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b64560">
              <w:rPr>
                <w:rFonts w:ascii="Times New Roman" w:hAnsi="Times New Roman"/>
              </w:rPr>
              <w:t xml:space="preserve">48,2</w:t>
            </w:r>
            <w:r w:rsidR="00b6456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560">
              <w:rPr>
                <w:rFonts w:ascii="Times New Roman" w:hAnsi="Times New Roman"/>
              </w:rPr>
              <w:t xml:space="preserve">379153,25</w:t>
            </w:r>
            <w:r w:rsidR="00307850" w:rsidRPr="00b64215">
              <w:rPr>
                <w:rFonts w:ascii="Times New Roman" w:hAnsi="Times New Roman"/>
              </w:rPr>
            </w:r>
          </w:p>
        </w:tc>
      </w:tr>
      <w:tr>
        <w:trPr>
          <w:trHeight w:hRule="atLeast" w:val="450"/>
          <w:wAfter w:type="dxa" w:w="0"/>
          <w:trHeight w:hRule="atLeast" w:val="450"/>
          <w:wAfter w:type="dxa" w:w="0"/>
        </w:trPr>
        <w:tc>
          <w:tcPr>
            <w:textDirection w:val="lrTb"/>
            <w:vAlign w:val="top"/>
            <w:tcW w:type="dxa" w:w="1951"/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jc w:val="center"/>
            </w:pPr>
            <w:r w:rsidR="00307850" w:rsidRPr="00b64215">
              <w:rPr>
                <w:rFonts w:ascii="Times New Roman" w:hAnsi="Times New Roman"/>
              </w:rPr>
              <w:t xml:space="preserve">Несовершеннолетний ребенок</w:t>
            </w:r>
          </w:p>
        </w:tc>
        <w:tc>
          <w:tcPr>
            <w:textDirection w:val="lrTb"/>
            <w:vAlign w:val="top"/>
            <w:tcW w:type="dxa" w:w="2126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  <w:t xml:space="preserve">Квартира</w:t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  <w:t xml:space="preserve">квартира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Общая долевая ½</w:t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Общая долевая 1/3 </w:t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44,4</w:t>
            </w:r>
          </w:p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30,9</w:t>
            </w:r>
          </w:p>
        </w:tc>
        <w:tc>
          <w:tcPr>
            <w:textDirection w:val="lrTb"/>
            <w:vAlign w:val="top"/>
            <w:tcW w:type="dxa" w:w="992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</w:pPr>
            <w:r w:rsidR="00307850" w:rsidRPr="00b64215">
              <w:rPr>
                <w:rFonts w:ascii="Times New Roman" w:hAnsi="Times New Roman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134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276"/>
            <w:tcBorders>
              <w:top w:color="000000" w:space="0" w:sz="4" w:val="single"/>
              <w:bottom w:color="000000" w:space="0" w:sz="4" w:val="single"/>
            </w:tcBorders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307850" w:rsidRPr="00b64215">
              <w:rPr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type="dxa" w:w="1417"/>
          </w:tcPr>
          <w:p w:rsidP="00307850">
            <w:pPr>
              <w:pStyle w:val="Normal"/>
              <w:rPr>
                <w:rFonts w:ascii="Times New Roman" w:hAnsi="Times New Roman"/>
              </w:rPr>
              <w:framePr w:hAnchor="margin" w:hSpace="180" w:vAnchor="text" w:wrap="around" w:x="-459" w:y="-574"/>
              <w:spacing w:after="0" w:line="240" w:lineRule="auto"/>
              <w:jc w:val="center"/>
            </w:pPr>
            <w:r w:rsidR="00b64215" w:rsidRPr="00b64215">
              <w:rPr>
                <w:rFonts w:ascii="Times New Roman" w:hAnsi="Times New Roman"/>
              </w:rPr>
              <w:t xml:space="preserve">8333,81</w:t>
            </w:r>
            <w:r w:rsidR="00307850" w:rsidRPr="00b64215">
              <w:rPr>
                <w:rFonts w:ascii="Times New Roman" w:hAnsi="Times New Roman"/>
              </w:rPr>
            </w:r>
          </w:p>
        </w:tc>
      </w:tr>
    </w:tbl>
    <w:p w:rsidP="00307850">
      <w:pPr>
        <w:pStyle w:val="Normal"/>
        <w:rPr>
          <w:color w:val="ff0000"/>
        </w:rPr>
        <w:spacing w:after="0"/>
      </w:pPr>
      <w:r w:rsidR="005c0be2" w:rsidRPr="00307850">
        <w:rPr>
          <w:color w:val="ff0000"/>
        </w:rPr>
      </w:r>
    </w:p>
    <w:sectPr>
      <w:headerReference r:id="rId2" w:type="first"/>
      <w:footerReference r:id="rId3" w:type="default"/>
      <w:type w:val="nextPage"/>
      <w:pgSz w:h="11906" w:orient="landscape" w:w="16838"/>
      <w:pgMar w:bottom="1134" w:footer="709" w:gutter="0" w:header="624" w:left="1701" w:right="850" w:top="1134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cc"/>
    <w:family w:val="roman"/>
    <w:panose1 w:val="02020603050405020304"/>
    <w:pitch w:val="variable"/>
    <w:sig w:usb0="e0002eff" w:usb1="c000785b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eff" w:usb1="c000785b" w:usb2="00000009" w:usb3="00000000" w:csb0="000001ff" w:csb1="00000000"/>
  </w:font>
  <w:font w:name="Times New Roman CYR">
    <w:charset w:val="cc"/>
    <w:family w:val="roman"/>
    <w:panose1 w:val="02020603050405020304"/>
    <w:pitch w:val="variable"/>
    <w:sig w:usb0="e0002eff" w:usb1="c000785b" w:usb2="00000009" w:usb3="00000000" w:csb0="000001ff" w:csb1="00000000"/>
  </w:font>
  <w:font w:name="SimSun">
    <w:altName w:val="???????????????Ўм§А?§ЮЎм???§ЮЎм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libri">
    <w:altName w:val="Century Gothic"/>
    <w:charset w:val="cc"/>
    <w:family w:val="swiss"/>
    <w:panose1 w:val="020f0502020204030204"/>
    <w:pitch w:val="variable"/>
    <w:sig w:usb0="e4002eff" w:usb1="c000247b" w:usb2="00000009" w:usb3="00000000" w:csb0="000001ff" w:csb1="00000000"/>
  </w:font>
  <w:font w:name="Tahoma">
    <w:charset w:val="cc"/>
    <w:family w:val="swiss"/>
    <w:panose1 w:val="020b0604030504040204"/>
    <w:pitch w:val="variable"/>
    <w:sig w:usb0="e1002eff" w:usb1="c000605b" w:usb2="00000029" w:usb3="00000000" w:csb0="000101ff" w:csb1="00000000"/>
  </w:font>
  <w:font w:name="Cambria Math">
    <w:altName w:val="Palatino Linotype"/>
    <w:charset w:val="cc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be3e96">
    <w:pPr>
      <w:pStyle w:val="Normal"/>
      <w:tabs>
        <w:tab w:leader="none" w:pos="1050" w:val="left"/>
      </w:tabs>
    </w:pPr>
    <w:r w:rsidR="004c4e5a">
      <w:tab/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2b4fbd">
    <w:pPr>
      <w:pStyle w:val="Normal"/>
      <w:spacing w:after="0" w:line="240" w:lineRule="auto"/>
      <w:jc w:val="center"/>
    </w:pPr>
    <w:r w:rsidR="004c4e5a">
      <w:rPr>
        <w:b/>
        <w:sz w:val="26"/>
        <w:bCs/>
        <w:szCs w:val="26"/>
        <w:color w:val="000000"/>
      </w:rPr>
      <w:t xml:space="preserve">СВЕДЕНИЯ</w:t>
    </w:r>
    <w:r w:rsidR="004c4e5a"/>
  </w:p>
  <w:p w:rsidP="002b4fbd">
    <w:pPr>
      <w:pStyle w:val="Normal"/>
      <w:rPr>
        <w:b/>
        <w:sz w:val="26"/>
        <w:bCs/>
        <w:szCs w:val="26"/>
        <w:color w:val="000000"/>
      </w:rPr>
      <w:spacing w:after="0" w:line="240" w:lineRule="auto"/>
      <w:jc w:val="center"/>
    </w:pPr>
    <w:r w:rsidR="004c4e5a">
      <w:rPr>
        <w:b/>
        <w:sz w:val="26"/>
        <w:bCs/>
        <w:szCs w:val="26"/>
        <w:color w:val="000000"/>
      </w:rPr>
      <w:t xml:space="preserve">о доходах, имуществе и обязательствах имущественного характера</w:t>
    </w:r>
  </w:p>
  <w:p w:rsidP="002b4fbd">
    <w:pPr>
      <w:pStyle w:val="Normal"/>
      <w:spacing w:after="0" w:line="240" w:lineRule="auto"/>
      <w:jc w:val="center"/>
    </w:pPr>
    <w:r w:rsidR="004c4e5a">
      <w:rPr>
        <w:b/>
        <w:sz w:val="26"/>
        <w:bCs/>
        <w:szCs w:val="26"/>
        <w:color w:val="000000"/>
      </w:rPr>
      <w:t xml:space="preserve">гражданских служащих отдела народного образования администрации МР «Бабынинский район»</w:t>
    </w:r>
    <w:r w:rsidR="004c4e5a"/>
  </w:p>
  <w:p w:rsidP="002b4fbd">
    <w:pPr>
      <w:pStyle w:val="Normal"/>
      <w:spacing w:after="0" w:line="240" w:lineRule="auto"/>
      <w:jc w:val="center"/>
    </w:pPr>
    <w:r w:rsidR="004c4e5a">
      <w:rPr>
        <w:b/>
        <w:sz w:val="26"/>
        <w:bCs/>
        <w:szCs w:val="26"/>
        <w:color w:val="000000"/>
      </w:rPr>
      <w:t xml:space="preserve">и членов их семей за пери</w:t>
    </w:r>
    <w:r w:rsidR="002806ba">
      <w:rPr>
        <w:b/>
        <w:sz w:val="26"/>
        <w:bCs/>
        <w:szCs w:val="26"/>
        <w:color w:val="000000"/>
      </w:rPr>
      <w:t xml:space="preserve">од с 1 января по 31 декабря 2021</w:t>
    </w:r>
    <w:r w:rsidR="004c4e5a">
      <w:rPr>
        <w:b/>
        <w:sz w:val="26"/>
        <w:bCs/>
        <w:szCs w:val="26"/>
        <w:color w:val="000000"/>
      </w:rPr>
      <w:t xml:space="preserve">года</w:t>
    </w:r>
    <w:r w:rsidR="004c4e5a"/>
  </w:p>
  <w:p w:rsidP="00be3e96">
    <w:pPr>
      <w:pStyle w:val="Normal"/>
      <w:rPr>
        <w:b/>
        <w:bCs/>
        <w:lang w:eastAsia="zh-CN"/>
        <w:rFonts w:ascii="Times New Roman CYR" w:eastAsia="SimSun" w:hAnsi="Times New Roman CYR"/>
      </w:rPr>
      <w:autoSpaceDE w:val="off"/>
      <w:autoSpaceDN w:val="off"/>
      <w:spacing w:after="0" w:line="240" w:lineRule="auto"/>
      <w:jc w:val="center"/>
    </w:pPr>
    <w:r w:rsidR="004c4e5a">
      <w:rPr>
        <w:b/>
        <w:bCs/>
        <w:lang w:eastAsia="zh-CN"/>
        <w:rFonts w:ascii="Times New Roman CYR" w:eastAsia="SimSun" w:hAnsi="Times New Roman CYR"/>
      </w:rPr>
    </w:r>
  </w:p>
  <w:p w:rsidP="00be3e96">
    <w:pPr>
      <w:pStyle w:val="Header"/>
    </w:pPr>
    <w:r w:rsidR="004c4e5a" w:rsidRPr="00920f64"/>
  </w:p>
  <w:p>
    <w:pPr>
      <w:pStyle w:val="Header"/>
    </w:pPr>
    <w:r w:rsidR="004c4e5a"/>
  </w:p>
</w:hdr>
</file>

<file path=word/settings.xml><?xml version="1.0" encoding="utf-8"?>
<w:settings xmlns:w="http://schemas.openxmlformats.org/wordprocessingml/2006/main">
  <w:zoom w:percent="100"/>
  <w:evenAndOddHeaders/>
  <w:stylePaneFormatFilter w:val="5024"/>
  <w:defaultTabStop w:val="708"/>
  <w:displayHorizontalDrawingGridEvery w:val="2"/>
  <w:displayVerticalDrawingGridEvery w:val="1"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spaceForUL/>
  </w:compat>
  <w:rsids>
    <w:rsid w:val="000e037d"/>
    <w:rsid w:val="002020f4"/>
    <w:rsid w:val="00270a57"/>
    <w:rsid w:val="002806ba"/>
    <w:rsid w:val="002b4fbd"/>
    <w:rsid w:val="00307850"/>
    <w:rsid w:val="004c4e5a"/>
    <w:rsid w:val="0054597a"/>
    <w:rsid w:val="005c0be2"/>
    <w:rsid w:val="006975b8"/>
    <w:rsid w:val="007f67c0"/>
    <w:rsid w:val="008c2edb"/>
    <w:rsid w:val="00920f64"/>
    <w:rsid w:val="00ac5609"/>
    <w:rsid w:val="00ae074b"/>
    <w:rsid w:val="00b15ca5"/>
    <w:rsid w:val="00b3446f"/>
    <w:rsid w:val="00b64215"/>
    <w:rsid w:val="00b64560"/>
    <w:rsid w:val="00be3e96"/>
    <w:rsid w:val="00cf512e"/>
    <w:rsid w:val="00d72c5f"/>
    <w:rsid w:val="00e63fd4"/>
    <w:rsid w:val="00f301e4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style w:type="paragraph" w:styleId="Normal">
    <w:name w:val="Normal"/>
    <w:next w:val="Normal"/>
    <w:link w:val="Normal"/>
    <w:pPr>
      <w:spacing w:after="200" w:line="276" w:lineRule="auto"/>
    </w:pPr>
    <w:rPr>
      <w:sz w:val="22"/>
      <w:szCs w:val="22"/>
      <w:lang w:bidi="ar-SA" w:eastAsia="en-US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  <w:style w:type="paragraph" w:styleId="Header">
    <w:name w:val="Header"/>
    <w:basedOn w:val="Normal"/>
    <w:next w:val="Header"/>
    <w:link w:val="StGen4"/>
    <w:pPr>
      <w:tabs>
        <w:tab w:leader="none" w:pos="4677" w:val="center"/>
        <w:tab w:leader="none" w:pos="9355" w:val="right"/>
      </w:tabs>
    </w:pPr>
  </w:style>
  <w:style w:type="character" w:styleId="StGen4">
    <w:name w:val="StGen4"/>
    <w:basedOn w:val="NormalCharacter"/>
    <w:next w:val="StGen4"/>
    <w:link w:val="Header"/>
    <w:locked/>
    <w:rPr>
      <w:sz w:val="22"/>
      <w:szCs w:val="22"/>
      <w:lang w:eastAsia="en-US" w:val="en-US"/>
    </w:rPr>
  </w:style>
  <w:style w:type="paragraph" w:styleId="Footer">
    <w:name w:val="Footer"/>
    <w:basedOn w:val="Normal"/>
    <w:next w:val="Footer"/>
    <w:link w:val="StGen5"/>
    <w:semiHidden/>
    <w:pPr>
      <w:tabs>
        <w:tab w:leader="none" w:pos="4677" w:val="center"/>
        <w:tab w:leader="none" w:pos="9355" w:val="right"/>
      </w:tabs>
    </w:pPr>
  </w:style>
  <w:style w:type="character" w:styleId="StGen5">
    <w:name w:val="StGen5"/>
    <w:basedOn w:val="NormalCharacter"/>
    <w:next w:val="StGen5"/>
    <w:link w:val="Footer"/>
    <w:locked/>
    <w:semiHidden/>
    <w:rPr>
      <w:sz w:val="22"/>
      <w:szCs w:val="22"/>
      <w:lang w:eastAsia="en-US" w:val="en-US"/>
    </w:rPr>
  </w:style>
  <w:style w:type="paragraph" w:styleId="Acetate">
    <w:name w:val="Acetate"/>
    <w:basedOn w:val="Normal"/>
    <w:next w:val="Acetate"/>
    <w:link w:val="StGen6"/>
    <w:semiHidden/>
    <w:pPr>
      <w:spacing w:after="0" w:line="240" w:lineRule="auto"/>
    </w:pPr>
    <w:rPr>
      <w:sz w:val="16"/>
      <w:szCs w:val="16"/>
      <w:rFonts w:ascii="Tahoma" w:hAnsi="Tahoma"/>
    </w:rPr>
  </w:style>
  <w:style w:type="character" w:styleId="StGen6">
    <w:name w:val="StGen6"/>
    <w:basedOn w:val="NormalCharacter"/>
    <w:next w:val="StGen6"/>
    <w:link w:val="Acetate"/>
    <w:locked/>
    <w:semiHidden/>
    <w:rPr>
      <w:sz w:val="16"/>
      <w:szCs w:val="16"/>
      <w:lang w:eastAsia="en-US" w:val="en-US"/>
      <w:rFonts w:ascii="Tahoma" w:hAnsi="Tahoma"/>
    </w:rPr>
  </w:style>
  <w:style w:type="paragraph" w:styleId="StGen3">
    <w:name w:val="StGen3"/>
    <w:basedOn w:val="Normal"/>
    <w:next w:val="StGen3"/>
    <w:link w:val="Normal"/>
    <w:pPr>
      <w:spacing w:after="100" w:afterAutospacing="1" w:before="100" w:beforeAutospacing="1" w:line="240" w:lineRule="auto"/>
    </w:pPr>
    <w:rPr>
      <w:sz w:val="24"/>
      <w:szCs w:val="24"/>
      <w:lang w:eastAsia="ru-RU"/>
      <w:rFonts w:ascii="Times New Roman" w:hAnsi="Times New Roman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