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9" Type="http://schemas.openxmlformats.org/officeDocument/2006/relationships/extended-properties" Target="docProps/app.xml"/><Relationship Id="rId10"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РОССИЙСКАЯ ФЕДЕРАЦИЯ</w:t>
      </w: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КАЛУЖСКАЯ ОБЛАСТЬ</w: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r>
        <w:pict>
          <v:shape id="_x0000_s1025" type="#_x0000_t75" style="width:42pt;height:46pt;mso-position-horizontal:absolute;mso-position-horizontal-relative:char;mso-position-vertical:absolute;mso-position-vertical-relative:line;z-index:100" o:allowincell="true" filled="t" stroked="f">
            <v:imagedata r:id="rId2" cropleft="0f" croptop="0f" cropright="0f" cropbottom="0f" o:title=""/>
          </v:shape>
        </w:pic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МУНИЦИПАЛЬНЫЙ РАЙОН «БАБЫНИНСКИЙ РАЙОН»</w: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РАЙОННОЕ СОБРАНИЕ</w: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РЕШЕНИЕ</w: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both"/>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от 26.12.2018                                                                                                                            № 203</w:t>
      </w: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О внесении изменений в муниципальную </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программу «Устойчивое развитие </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сельских территорий МР «Бабынинский район»</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Калужской области на 2014-2020 годы»</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p>
    <w:p>
      <w:pPr>
        <w:jc w:val="both"/>
        <w:textAlignment w:val="auto"/>
        <w:ind w:firstLine="708"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В целях реализации муниципальной программы «Устойчивое развитие сельских территорий МР «Бабынинский район» Калужской области на 2014-2020 годы», утвержденной решением Районного Собрания  МР «Бабынинский район» № 263 от 21.11.2013 года и в соответствии со статьей 179 Бюджетного кодекса Российской Федерации,</w:t>
      </w:r>
    </w:p>
    <w:p>
      <w:pPr>
        <w:jc w:val="both"/>
        <w:textAlignment w:val="auto"/>
        <w:ind w:firstLine="708" w:left="0" w:right="0" w:start="0" w:end="0"/>
        <w:adjustRightInd w:val="true"/>
        <w:spacing w:after="0" w:line="240"/>
        <w:bidi w:val="false"/>
        <w:rPr>
          <w:rFonts w:ascii="Times New Roman" w:eastAsia="Times New Roman" w:hAnsi="Times New Roman" w:cs="Times New Roman"/>
          <w:sz w:val="26"/>
        </w:rPr>
      </w:pPr>
    </w:p>
    <w:p>
      <w:pPr>
        <w:jc w:val="center"/>
        <w:textAlignment w:val="auto"/>
        <w:ind w:firstLine="708"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РАЙОННОЕ СОБРАНИЕ РЕШИЛО:</w:t>
      </w:r>
    </w:p>
    <w:p>
      <w:pPr>
        <w:jc w:val="center"/>
        <w:textAlignment w:val="auto"/>
        <w:ind w:firstLine="708" w:left="0" w:right="0" w:start="0" w:end="0"/>
        <w:adjustRightInd w:val="true"/>
        <w:spacing w:after="0" w:line="240"/>
        <w:bidi w:val="false"/>
        <w:rPr>
          <w:b w:val="true"/>
          <w:rFonts w:ascii="Times New Roman" w:eastAsia="Times New Roman" w:hAnsi="Times New Roman" w:cs="Times New Roman"/>
          <w:sz w:val="26"/>
        </w:rPr>
      </w:pPr>
    </w:p>
    <w:p>
      <w:pPr>
        <w:jc w:val="both"/>
        <w:textAlignment w:val="auto"/>
        <w:ind w:hanging="284" w:left="284" w:right="0" w:start="284" w:end="0"/>
        <w:adjustRightInd w:val="true"/>
        <w:spacing w:after="0" w:line="240"/>
        <w:bidi w:val="false"/>
        <w:numPr>
          <w:ilvl w:val="0"/>
          <w:numId w:val="7"/>
        </w:numPr>
        <w:rPr>
          <w:rFonts w:ascii="Times New Roman" w:eastAsia="Times New Roman" w:hAnsi="Times New Roman" w:cs="Times New Roman"/>
          <w:sz w:val="26"/>
        </w:rPr>
      </w:pPr>
      <w:r>
        <w:rPr>
          <w:rFonts w:ascii="Times New Roman" w:eastAsia="Times New Roman" w:hAnsi="Times New Roman" w:cs="Times New Roman"/>
          <w:sz w:val="26"/>
        </w:rPr>
        <w:t xml:space="preserve">Внести в муниципальную программу «Устойчивое развитие сельских территорий МР «Бабынинский район» Калужской области на 2014-2020 годы», утвержденную решением Районного Собрания  МР «Бабынинский район» № 263 от 21.11.2013 года (далее – Программа) следующие  изменения:</w:t>
      </w:r>
    </w:p>
    <w:p>
      <w:pPr>
        <w:jc w:val="both"/>
        <w:textAlignment w:val="auto"/>
        <w:ind w:left="709" w:right="0" w:start="709" w:end="0"/>
        <w:adjustRightInd w:val="true"/>
        <w:spacing w:after="0" w:line="240"/>
        <w:bidi w:val="false"/>
        <w:numPr>
          <w:ilvl w:val="1"/>
          <w:numId w:val="4"/>
        </w:numPr>
        <w:tabs>
          <w:tab w:val="left" w:pos="0"/>
        </w:tabs>
        <w:rPr>
          <w:rFonts w:ascii="Times New Roman" w:eastAsia="Times New Roman" w:hAnsi="Times New Roman" w:cs="Times New Roman"/>
          <w:sz w:val="26"/>
        </w:rPr>
      </w:pPr>
      <w:r>
        <w:rPr>
          <w:rFonts w:ascii="Times New Roman" w:eastAsia="Times New Roman" w:hAnsi="Times New Roman" w:cs="Times New Roman"/>
          <w:sz w:val="26"/>
        </w:rPr>
        <w:t xml:space="preserve">Строку «Целевые индикаторы и показатели программы» Паспорта Программы  изложить в новой редакции:</w:t>
      </w:r>
    </w:p>
    <w:p>
      <w:pPr>
        <w:jc w:val="both"/>
        <w:textAlignment w:val="auto"/>
        <w:ind w:left="709" w:right="0" w:start="709" w:end="0"/>
        <w:adjustRightInd w:val="true"/>
        <w:spacing w:after="0" w:line="240"/>
        <w:bidi w:val="false"/>
        <w:tabs>
          <w:tab w:val="left" w:pos="0"/>
        </w:tabs>
        <w:rPr>
          <w:rFonts w:ascii="Times New Roman" w:eastAsia="Times New Roman" w:hAnsi="Times New Roman" w:cs="Times New Roman"/>
          <w:sz w:val="26"/>
        </w:rPr>
      </w:pPr>
      <w:r>
        <w:rPr>
          <w:rFonts w:ascii="Times New Roman" w:eastAsia="Times New Roman" w:hAnsi="Times New Roman" w:cs="Times New Roman"/>
          <w:sz w:val="26"/>
        </w:rPr>
        <w:t xml:space="preserve">«-ввод (приобретение) 1377 кв. м жилья для граждан, проживающих в сельской местности.»</w:t>
      </w:r>
    </w:p>
    <w:p>
      <w:pPr>
        <w:jc w:val="both"/>
        <w:textAlignment w:val="auto"/>
        <w:ind w:hanging="720" w:left="1429" w:right="0" w:start="1429" w:end="0"/>
        <w:adjustRightInd w:val="true"/>
        <w:spacing w:after="0" w:line="240"/>
        <w:bidi w:val="false"/>
        <w:numPr>
          <w:ilvl w:val="1"/>
          <w:numId w:val="7"/>
        </w:numPr>
        <w:tabs>
          <w:tab w:val="left" w:pos="0"/>
        </w:tabs>
        <w:rPr>
          <w:rFonts w:ascii="Times New Roman" w:eastAsia="Times New Roman" w:hAnsi="Times New Roman" w:cs="Times New Roman"/>
          <w:sz w:val="26"/>
        </w:rPr>
      </w:pPr>
      <w:r>
        <w:rPr>
          <w:rFonts w:ascii="Times New Roman" w:eastAsia="Times New Roman" w:hAnsi="Times New Roman" w:cs="Times New Roman"/>
          <w:sz w:val="26"/>
        </w:rPr>
        <w:t xml:space="preserve">Строку «Основные мероприятия программы» Паспорта Программы  изложить в новой редакции:</w:t>
      </w:r>
    </w:p>
    <w:p>
      <w:pPr>
        <w:jc w:val="both"/>
        <w:textAlignment w:val="auto"/>
        <w:ind w:left="709" w:right="0" w:start="709" w:end="0"/>
        <w:adjustRightInd w:val="true"/>
        <w:spacing w:after="0" w:line="240"/>
        <w:bidi w:val="false"/>
        <w:tabs>
          <w:tab w:val="left" w:pos="0"/>
        </w:tabs>
        <w:rPr>
          <w:rFonts w:ascii="Times New Roman" w:eastAsia="Times New Roman" w:hAnsi="Times New Roman" w:cs="Times New Roman"/>
          <w:sz w:val="26"/>
        </w:rPr>
      </w:pPr>
      <w:r>
        <w:rPr>
          <w:rFonts w:ascii="Times New Roman" w:eastAsia="Times New Roman" w:hAnsi="Times New Roman" w:cs="Times New Roman"/>
          <w:sz w:val="26"/>
        </w:rPr>
        <w:t xml:space="preserve"> «Софинансирование мероприятий по улучшению жилищных условий граждан, проживающих в сельской местности, в том числе молодых семей и молодых специалистов.»</w:t>
      </w:r>
    </w:p>
    <w:p>
      <w:pPr>
        <w:jc w:val="both"/>
        <w:textAlignment w:val="auto"/>
        <w:ind w:left="709" w:right="0" w:start="709"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1.3. Абзац 2 Строки «Объемы и источники финансирования» Паспорта      Программы  изложить в новой редакции:</w:t>
      </w:r>
    </w:p>
    <w:p>
      <w:pPr>
        <w:jc w:val="both"/>
        <w:textAlignment w:val="auto"/>
        <w:ind w:firstLine="567" w:left="-65" w:right="0" w:start="-65" w:end="0"/>
        <w:adjustRightInd w:val="true"/>
        <w:spacing w:after="0" w:line="240"/>
        <w:bidi w:val="false"/>
        <w:rPr>
          <w:rFonts w:ascii="Times New Roman CYR" w:eastAsia="Times New Roman CYR" w:hAnsi="Times New Roman CYR" w:cs="Times New Roman CYR"/>
          <w:sz w:val="26"/>
        </w:rPr>
      </w:pPr>
      <w:r>
        <w:rPr>
          <w:rFonts w:ascii="Times New Roman" w:eastAsia="Times New Roman" w:hAnsi="Times New Roman" w:cs="Times New Roman"/>
          <w:sz w:val="26"/>
        </w:rPr>
        <w:t xml:space="preserve">«Объемы бюджетных ассигнований  уточняются ежегодно при формировании бюджета на очередной финансовый год и плановый период. Объем финансирования из федерального и областного бюджетов – в рамках текущего финансирования. Объем (прогнозный) финансирования из бюджета МР «Бабынинский район» на реализацию программы на 2014-2020 года – 3097,605 тыс. руб. </w:t>
      </w:r>
      <w:r>
        <w:rPr>
          <w:rFonts w:ascii="Times New Roman CYR" w:eastAsia="Times New Roman CYR" w:hAnsi="Times New Roman CYR" w:cs="Times New Roman CYR"/>
          <w:sz w:val="26"/>
        </w:rPr>
        <w:t xml:space="preserve">Объемы финансовых средств, направляемых на реализацию Программы из местного бюджета, ежегодно    </w:t>
      </w:r>
      <w:r>
        <w:rPr>
          <w:rFonts w:ascii="Times New Roman CYR" w:eastAsia="Times New Roman CYR" w:hAnsi="Times New Roman CYR" w:cs="Times New Roman CYR"/>
          <w:sz w:val="26"/>
        </w:rPr>
        <w:br w:type="textWrapping" w:clear="none"/>
      </w:r>
      <w:r>
        <w:rPr>
          <w:rFonts w:ascii="Times New Roman CYR" w:eastAsia="Times New Roman CYR" w:hAnsi="Times New Roman CYR" w:cs="Times New Roman CYR"/>
          <w:sz w:val="26"/>
        </w:rPr>
        <w:t xml:space="preserve">уточняются после принятия бюджета на очередной финансовый год и на      плановый период.»</w:t>
      </w:r>
    </w:p>
    <w:p>
      <w:pPr>
        <w:jc w:val="both"/>
        <w:textAlignment w:val="auto"/>
        <w:ind w:left="709" w:right="0" w:start="709" w:end="0"/>
        <w:adjustRightInd w:val="true"/>
        <w:spacing w:after="0" w:line="240"/>
        <w:bidi w:val="false"/>
        <w:tabs>
          <w:tab w:val="left" w:pos="0"/>
        </w:tabs>
        <w:rPr>
          <w:rFonts w:ascii="Times New Roman" w:eastAsia="Times New Roman" w:hAnsi="Times New Roman" w:cs="Times New Roman"/>
          <w:sz w:val="26"/>
        </w:rPr>
      </w:pPr>
      <w:r>
        <w:rPr>
          <w:rFonts w:ascii="Times New Roman" w:eastAsia="Times New Roman" w:hAnsi="Times New Roman" w:cs="Times New Roman"/>
          <w:sz w:val="26"/>
        </w:rPr>
        <w:t xml:space="preserve">1.4. Строку «Основные ожидаемые конечные результаты программы» Паспорта Программы  изложить в новой редакции:</w:t>
      </w:r>
    </w:p>
    <w:p>
      <w:pPr>
        <w:jc w:val="both"/>
        <w:textAlignment w:val="auto"/>
        <w:ind w:left="0" w:right="0" w:start="0" w:end="0"/>
        <w:adjustRightInd w:val="true"/>
        <w:spacing w:after="0" w:line="240"/>
        <w:bidi w:val="false"/>
        <w:tabs>
          <w:tab w:val="left" w:pos="0"/>
        </w:tabs>
        <w:rPr>
          <w:rFonts w:ascii="Times New Roman" w:eastAsia="Times New Roman" w:hAnsi="Times New Roman" w:cs="Times New Roman"/>
          <w:sz w:val="26"/>
        </w:rPr>
      </w:pPr>
      <w:r>
        <w:rPr>
          <w:rFonts w:ascii="Times New Roman" w:eastAsia="Times New Roman" w:hAnsi="Times New Roman" w:cs="Times New Roman"/>
          <w:sz w:val="26"/>
        </w:rPr>
        <w:t xml:space="preserve"> «Улучшение жилищных условий 21 сельской семьи.»</w:t>
      </w:r>
    </w:p>
    <w:p>
      <w:pPr>
        <w:jc w:val="left"/>
        <w:textAlignment w:val="auto"/>
        <w:ind w:left="709" w:right="0" w:start="709" w:end="0"/>
        <w:adjustRightInd w:val="true"/>
        <w:spacing w:after="0" w:line="240"/>
        <w:bidi w:val="false"/>
        <w:numPr>
          <w:ilvl w:val="1"/>
          <w:numId w:val="8"/>
        </w:numPr>
        <w:tabs>
          <w:tab w:val="left" w:pos="993"/>
        </w:tabs>
        <w:rPr>
          <w:rFonts w:ascii="Times New Roman" w:eastAsia="Times New Roman" w:hAnsi="Times New Roman" w:cs="Times New Roman"/>
          <w:sz w:val="26"/>
        </w:rPr>
      </w:pPr>
      <w:r>
        <w:rPr>
          <w:rFonts w:ascii="Times New Roman" w:eastAsia="Times New Roman" w:hAnsi="Times New Roman" w:cs="Times New Roman"/>
          <w:sz w:val="26"/>
        </w:rPr>
        <w:t xml:space="preserve">Пункт 4  Программы  «Финансовое обеспечение программы» изложить в новой редакции:</w:t>
      </w:r>
    </w:p>
    <w:p>
      <w:pPr>
        <w:jc w:val="both"/>
        <w:textAlignment w:val="auto"/>
        <w:ind w:left="0" w:right="0" w:start="0" w:end="0"/>
        <w:adjustRightInd w:val="true"/>
        <w:spacing w:after="0" w:line="240"/>
        <w:bidi w:val="false"/>
        <w:tabs>
          <w:tab w:val="left" w:pos="993"/>
        </w:tabs>
        <w:rPr>
          <w:rFonts w:ascii="Times New Roman" w:eastAsia="Times New Roman" w:hAnsi="Times New Roman" w:cs="Times New Roman"/>
          <w:sz w:val="26"/>
        </w:rPr>
      </w:pPr>
      <w:r>
        <w:rPr>
          <w:rFonts w:ascii="Times New Roman" w:eastAsia="Times New Roman" w:hAnsi="Times New Roman" w:cs="Times New Roman"/>
          <w:sz w:val="26"/>
        </w:rPr>
        <w:tab/>
      </w:r>
      <w:r>
        <w:rPr>
          <w:rFonts w:ascii="Times New Roman" w:eastAsia="Times New Roman" w:hAnsi="Times New Roman" w:cs="Times New Roman"/>
          <w:sz w:val="26"/>
        </w:rPr>
        <w:t xml:space="preserve">«При определении ресурсного обеспечения программы учитывались реальная ситуация в финансово-бюджетной сфере МР «Бабынинский район» Калужской области, общеэкономическая, социально-демографическая и политическая значимость проблемы, а также реальная возможность ее решения только при значительной федеральной поддержке и вовлечении в инвестиционную деятельность всех участников реализации программы, включая сельское население.</w:t>
      </w:r>
    </w:p>
    <w:p>
      <w:pPr>
        <w:jc w:val="both"/>
        <w:textAlignment w:val="auto"/>
        <w:ind w:left="0" w:right="0" w:start="0" w:end="0"/>
        <w:adjustRightInd w:val="true"/>
        <w:spacing w:after="0" w:line="240"/>
        <w:bidi w:val="false"/>
        <w:tabs>
          <w:tab w:val="left" w:pos="993"/>
        </w:tabs>
        <w:rPr>
          <w:rFonts w:ascii="Times New Roman" w:eastAsia="Times New Roman" w:hAnsi="Times New Roman" w:cs="Times New Roman"/>
          <w:sz w:val="26"/>
        </w:rPr>
      </w:pPr>
      <w:r>
        <w:rPr>
          <w:rFonts w:ascii="Times New Roman" w:eastAsia="Times New Roman" w:hAnsi="Times New Roman" w:cs="Times New Roman"/>
          <w:sz w:val="26"/>
        </w:rPr>
        <w:tab/>
      </w:r>
      <w:r>
        <w:rPr>
          <w:rFonts w:ascii="Times New Roman" w:eastAsia="Times New Roman" w:hAnsi="Times New Roman" w:cs="Times New Roman"/>
          <w:sz w:val="26"/>
        </w:rPr>
        <w:t xml:space="preserve">Финансирование мероприятий программы осуществляется за счет средств федерального бюджета, средств областного бюджета, средств местных бюджетов и внебюджетных источников. Средства федерального и областного бюджетов выделяются муниципальным образованиям на условиях софинансирования в порядке межбюджетных отношений.</w:t>
      </w:r>
    </w:p>
    <w:p>
      <w:pPr>
        <w:jc w:val="both"/>
        <w:textAlignment w:val="auto"/>
        <w:ind w:left="0" w:right="0" w:start="0" w:end="0"/>
        <w:adjustRightInd w:val="true"/>
        <w:spacing w:after="0" w:line="240"/>
        <w:bidi w:val="false"/>
        <w:tabs>
          <w:tab w:val="left" w:pos="993"/>
        </w:tabs>
        <w:rPr>
          <w:rFonts w:ascii="Times New Roman" w:eastAsia="Times New Roman" w:hAnsi="Times New Roman" w:cs="Times New Roman"/>
          <w:sz w:val="26"/>
        </w:rPr>
      </w:pPr>
      <w:r>
        <w:rPr>
          <w:rFonts w:ascii="Times New Roman" w:eastAsia="Times New Roman" w:hAnsi="Times New Roman" w:cs="Times New Roman"/>
          <w:sz w:val="26"/>
        </w:rPr>
        <w:tab/>
      </w:r>
      <w:r>
        <w:rPr>
          <w:rFonts w:ascii="Times New Roman" w:eastAsia="Times New Roman" w:hAnsi="Times New Roman" w:cs="Times New Roman"/>
          <w:sz w:val="26"/>
        </w:rPr>
        <w:t xml:space="preserve">С 2010 года доля средств областного бюджета, выделяемых в форме субсидий муниципальным образованиям на финансовое обеспечение мероприятий программы, определяется в зависимости от уровня бюджетной обеспеченности муниципальных районов области и других условий, предусмотренных правилами предоставления субсидий местным бюджетам из областного бюджета на реализацию мероприятий программы.</w:t>
      </w:r>
    </w:p>
    <w:p>
      <w:pPr>
        <w:jc w:val="both"/>
        <w:textAlignment w:val="auto"/>
        <w:ind w:left="0" w:right="0" w:start="0" w:end="0"/>
        <w:adjustRightInd w:val="true"/>
        <w:spacing w:after="0" w:line="240"/>
        <w:bidi w:val="false"/>
        <w:tabs>
          <w:tab w:val="left" w:pos="993"/>
        </w:tabs>
        <w:rPr>
          <w:rFonts w:ascii="Times New Roman" w:eastAsia="Times New Roman" w:hAnsi="Times New Roman" w:cs="Times New Roman"/>
          <w:sz w:val="26"/>
        </w:rPr>
      </w:pPr>
      <w:r>
        <w:rPr>
          <w:rFonts w:ascii="Times New Roman" w:eastAsia="Times New Roman" w:hAnsi="Times New Roman" w:cs="Times New Roman"/>
          <w:sz w:val="26"/>
        </w:rPr>
        <w:tab/>
      </w:r>
      <w:r>
        <w:rPr>
          <w:rFonts w:ascii="Times New Roman" w:eastAsia="Times New Roman" w:hAnsi="Times New Roman" w:cs="Times New Roman"/>
          <w:sz w:val="26"/>
        </w:rPr>
        <w:t xml:space="preserve">Правила предоставления субсидий из областного бюджета местным бюджетам в целях софинансирования мероприятий программы, а также распределение субсидий между муниципальными образованиями устанавливаются Правительством Калужской области.</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ab/>
      </w:r>
      <w:r>
        <w:rPr>
          <w:rFonts w:ascii="Times New Roman" w:eastAsia="Times New Roman" w:hAnsi="Times New Roman" w:cs="Times New Roman"/>
          <w:sz w:val="26"/>
        </w:rPr>
        <w:t xml:space="preserve">Соотношение  объемов  софинансирования  за  счет  средств  федерального и регионального бюджетов составляет  65%;  за  счет местного  бюджета – 5%  и собственных  средств  - 30%.</w:t>
      </w:r>
    </w:p>
    <w:p>
      <w:pPr>
        <w:jc w:val="both"/>
        <w:textAlignment w:val="auto"/>
        <w:ind w:left="1275" w:right="0" w:start="1275" w:end="0"/>
        <w:adjustRightInd w:val="true"/>
        <w:spacing w:after="0" w:line="240"/>
        <w:bidi w:val="false"/>
        <w:rPr>
          <w:rFonts w:ascii="Times New Roman" w:eastAsia="Times New Roman" w:hAnsi="Times New Roman" w:cs="Times New Roman"/>
          <w:sz w:val="26"/>
        </w:rPr>
      </w:pPr>
    </w:p>
    <w:tbl>
      <w:tblPr>
        <w:tblLayout w:type="fixed"/>
        <w:tblInd w:w="-683" w:type="dxa"/>
        <w:tblW w:w="10572" w:type="dxa"/>
        <w:tblCellMar>
          <w:bottom w:w="0" w:type="dxa"/>
          <w:left w:w="108" w:type="dxa"/>
          <w:right w:w="108" w:type="dxa"/>
          <w:top w:w="0" w:type="dxa"/>
        </w:tblCellMar>
        <w:tblBorders>
          <w:left w:color="000000" w:sz="4" w:space="0" w:val="single"/>
          <w:right w:color="000000" w:sz="4" w:space="0" w:val="single"/>
          <w:top w:color="000000" w:sz="4" w:space="0" w:val="single"/>
          <w:bottom w:color="000000" w:sz="4" w:space="0" w:val="single"/>
          <w:insideV w:color="000000" w:sz="4" w:space="0" w:val="single"/>
          <w:insideH w:color="000000" w:sz="4" w:space="0" w:val="single"/>
        </w:tblBorders>
      </w:tblPr>
      <w:tblGrid>
        <w:gridCol w:w="1668"/>
        <w:gridCol w:w="992"/>
        <w:gridCol w:w="992"/>
        <w:gridCol w:w="967"/>
        <w:gridCol w:w="992"/>
        <w:gridCol w:w="992"/>
        <w:gridCol w:w="992"/>
        <w:gridCol w:w="851"/>
        <w:gridCol w:w="992"/>
        <w:gridCol w:w="1134"/>
      </w:tblGrid>
      <w:tr>
        <w:tc>
          <w:tcPr>
            <w:tcW w:type="dxa" w:w="1668"/>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Наименование</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Ед.</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изм.</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2014</w:t>
            </w:r>
          </w:p>
        </w:tc>
        <w:tc>
          <w:tcPr>
            <w:tcW w:type="dxa" w:w="967"/>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2015</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2016</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2017</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2018</w:t>
            </w:r>
          </w:p>
        </w:tc>
        <w:tc>
          <w:tcPr>
            <w:tcW w:type="dxa" w:w="851"/>
            <w:tcBorders>
              <w:left w:color="000000" w:sz="4" w:val="single"/>
              <w:top w:color="000000" w:sz="4" w:val="single"/>
              <w:right w:color="000000" w:sz="4" w:val="single"/>
              <w:bottom w:color="000000" w:sz="4" w:val="single"/>
            </w:tcBorders>
            <w:shd w:val="nil"/>
            <w:vAlign w:val="top"/>
            <w:textDirection w:val="lrTb"/>
            <w:gridSpan w:val="1"/>
          </w:tcPr>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2019</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2020</w:t>
            </w:r>
          </w:p>
        </w:tc>
        <w:tc>
          <w:tcPr>
            <w:tcW w:type="dxa" w:w="1134"/>
            <w:tcBorders>
              <w:left w:color="000000" w:sz="4" w:val="single"/>
              <w:top w:color="000000" w:sz="4" w:val="single"/>
              <w:right w:color="000000" w:sz="4" w:val="single"/>
              <w:bottom w:color="000000" w:sz="4" w:val="single"/>
            </w:tcBorders>
            <w:shd w:val="nil"/>
            <w:vAlign w:val="top"/>
            <w:textDirection w:val="lrTb"/>
            <w:gridSpan w:val="1"/>
          </w:tcPr>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2014-2020</w:t>
            </w:r>
          </w:p>
        </w:tc>
      </w:tr>
      <w:tr>
        <w:tc>
          <w:tcPr>
            <w:tcW w:type="dxa" w:w="1668"/>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1.Количество семей</w:t>
            </w:r>
          </w:p>
          <w:p>
            <w:pPr>
              <w:jc w:val="left"/>
              <w:textAlignment w:val="auto"/>
              <w:ind w:left="0" w:right="0" w:start="0" w:end="0"/>
              <w:adjustRightInd w:val="true"/>
              <w:spacing w:after="0" w:line="240"/>
              <w:bidi w:val="false"/>
              <w:rPr>
                <w:rFonts w:ascii="Times New Roman" w:eastAsia="Times New Roman" w:hAnsi="Times New Roman" w:cs="Times New Roman"/>
                <w:sz w:val="20"/>
              </w:rPr>
            </w:pP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ед.</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w:t>
            </w:r>
          </w:p>
        </w:tc>
        <w:tc>
          <w:tcPr>
            <w:tcW w:type="dxa" w:w="967"/>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5</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w:t>
            </w:r>
          </w:p>
        </w:tc>
        <w:tc>
          <w:tcPr>
            <w:tcW w:type="dxa" w:w="851"/>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w:t>
            </w:r>
          </w:p>
        </w:tc>
        <w:tc>
          <w:tcPr>
            <w:tcW w:type="dxa" w:w="1134"/>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21</w:t>
            </w:r>
          </w:p>
        </w:tc>
      </w:tr>
      <w:tr>
        <w:tc>
          <w:tcPr>
            <w:tcW w:type="dxa" w:w="1668"/>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2.Численность</w:t>
            </w:r>
          </w:p>
          <w:p>
            <w:pPr>
              <w:jc w:val="left"/>
              <w:textAlignment w:val="auto"/>
              <w:ind w:left="0" w:right="0" w:start="0" w:end="0"/>
              <w:adjustRightInd w:val="true"/>
              <w:spacing w:after="0" w:line="240"/>
              <w:bidi w:val="false"/>
              <w:rPr>
                <w:rFonts w:ascii="Times New Roman" w:eastAsia="Times New Roman" w:hAnsi="Times New Roman" w:cs="Times New Roman"/>
                <w:sz w:val="20"/>
              </w:rPr>
            </w:pP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чел.</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11</w:t>
            </w:r>
          </w:p>
        </w:tc>
        <w:tc>
          <w:tcPr>
            <w:tcW w:type="dxa" w:w="967"/>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11</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4</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17</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9</w:t>
            </w:r>
          </w:p>
        </w:tc>
        <w:tc>
          <w:tcPr>
            <w:tcW w:type="dxa" w:w="851"/>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13</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11</w:t>
            </w:r>
          </w:p>
        </w:tc>
        <w:tc>
          <w:tcPr>
            <w:tcW w:type="dxa" w:w="1134"/>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76</w:t>
            </w:r>
          </w:p>
        </w:tc>
      </w:tr>
      <w:tr>
        <w:tc>
          <w:tcPr>
            <w:tcW w:type="dxa" w:w="1668"/>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3.Нормативная жилая площадь</w:t>
            </w: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всего</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кв. м</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204</w:t>
            </w:r>
          </w:p>
        </w:tc>
        <w:tc>
          <w:tcPr>
            <w:tcW w:type="dxa" w:w="967"/>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198</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87</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312</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162</w:t>
            </w:r>
          </w:p>
        </w:tc>
        <w:tc>
          <w:tcPr>
            <w:tcW w:type="dxa" w:w="851"/>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216</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198</w:t>
            </w:r>
          </w:p>
        </w:tc>
        <w:tc>
          <w:tcPr>
            <w:tcW w:type="dxa" w:w="1134"/>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1377</w:t>
            </w:r>
          </w:p>
        </w:tc>
      </w:tr>
      <w:tr>
        <w:tc>
          <w:tcPr>
            <w:tcW w:type="dxa" w:w="1668"/>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4.Стоимость   1 кв.метра*</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тыс.</w:t>
            </w: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рублей</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38,702</w:t>
            </w:r>
          </w:p>
        </w:tc>
        <w:tc>
          <w:tcPr>
            <w:tcW w:type="dxa" w:w="967"/>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26,567</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31,272</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30,391</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30,100</w:t>
            </w:r>
          </w:p>
        </w:tc>
        <w:tc>
          <w:tcPr>
            <w:tcW w:type="dxa" w:w="851"/>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37,037</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40,741</w:t>
            </w:r>
          </w:p>
        </w:tc>
        <w:tc>
          <w:tcPr>
            <w:tcW w:type="dxa" w:w="1134"/>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p>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37,950</w:t>
            </w:r>
          </w:p>
        </w:tc>
      </w:tr>
      <w:tr>
        <w:tc>
          <w:tcPr>
            <w:tcW w:type="dxa" w:w="1668"/>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5.Общая сумма</w:t>
            </w:r>
          </w:p>
          <w:p>
            <w:pPr>
              <w:jc w:val="left"/>
              <w:textAlignment w:val="auto"/>
              <w:ind w:left="0" w:right="0" w:start="0" w:end="0"/>
              <w:adjustRightInd w:val="true"/>
              <w:spacing w:after="0" w:line="240"/>
              <w:bidi w:val="false"/>
              <w:rPr>
                <w:rFonts w:ascii="Times New Roman" w:eastAsia="Times New Roman" w:hAnsi="Times New Roman" w:cs="Times New Roman"/>
                <w:sz w:val="20"/>
              </w:rPr>
            </w:pP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тыс.</w:t>
            </w: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рублей</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7895,277</w:t>
            </w:r>
          </w:p>
        </w:tc>
        <w:tc>
          <w:tcPr>
            <w:tcW w:type="dxa" w:w="967"/>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5260,320</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2720,692</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9481,879</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4876,200</w:t>
            </w:r>
          </w:p>
        </w:tc>
        <w:tc>
          <w:tcPr>
            <w:tcW w:type="dxa" w:w="851"/>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8000,0</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8066,72</w:t>
            </w:r>
          </w:p>
        </w:tc>
        <w:tc>
          <w:tcPr>
            <w:tcW w:type="dxa" w:w="1134"/>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46301,088</w:t>
            </w:r>
          </w:p>
        </w:tc>
      </w:tr>
      <w:tr>
        <w:tc>
          <w:tcPr>
            <w:tcW w:type="dxa" w:w="1668"/>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6.В т.ч. субсидии из местного</w:t>
            </w: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бюджета</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тыс.</w:t>
            </w:r>
          </w:p>
          <w:p>
            <w:pPr>
              <w:jc w:val="left"/>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рублей</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712,399</w:t>
            </w:r>
          </w:p>
        </w:tc>
        <w:tc>
          <w:tcPr>
            <w:tcW w:type="dxa" w:w="967"/>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617,400</w:t>
            </w:r>
          </w:p>
        </w:tc>
        <w:tc>
          <w:tcPr>
            <w:tcW w:type="dxa" w:w="992"/>
            <w:tcBorders>
              <w:left w:color="000000" w:sz="4" w:val="single"/>
              <w:top w:color="000000" w:sz="4" w:val="single"/>
              <w:right w:color="000000" w:sz="4" w:val="single"/>
              <w:bottom w:color="000000" w:sz="4" w:val="single"/>
            </w:tcBorders>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255,780</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464,880</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243,810</w:t>
            </w:r>
          </w:p>
        </w:tc>
        <w:tc>
          <w:tcPr>
            <w:tcW w:type="dxa" w:w="851"/>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400,0</w:t>
            </w:r>
          </w:p>
        </w:tc>
        <w:tc>
          <w:tcPr>
            <w:tcW w:type="dxa" w:w="992"/>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403,336</w:t>
            </w:r>
          </w:p>
        </w:tc>
        <w:tc>
          <w:tcPr>
            <w:tcW w:type="dxa" w:w="1134"/>
            <w:tcBorders>
              <w:left w:color="000000" w:sz="4" w:val="single"/>
              <w:top w:color="000000" w:sz="4" w:val="single"/>
              <w:right w:color="000000" w:sz="4" w:val="single"/>
              <w:bottom w:color="000000" w:sz="4" w:val="single"/>
            </w:tcBorders>
            <w:shd w:val="nil"/>
            <w:vAlign w:val="top"/>
            <w:textDirection w:val="lrTb"/>
            <w:gridSpan w:val="1"/>
          </w:tcPr>
          <w:p>
            <w:pPr>
              <w:jc w:val="center"/>
              <w:textAlignment w:val="auto"/>
              <w:ind w:left="0" w:right="0" w:start="0" w:end="0"/>
              <w:adjustRightInd w:val="true"/>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3097,605</w:t>
            </w:r>
          </w:p>
        </w:tc>
      </w:tr>
    </w:tbl>
    <w:p>
      <w:pPr>
        <w:jc w:val="both"/>
        <w:textAlignment w:val="auto"/>
        <w:ind w:left="1275" w:right="0" w:start="1275" w:end="0"/>
        <w:spacing w:after="0" w:line="240"/>
        <w:bidi w:val="false"/>
        <w:rPr>
          <w:rFonts w:ascii="Times New Roman" w:eastAsia="Times New Roman" w:hAnsi="Times New Roman" w:cs="Times New Roman"/>
          <w:sz w:val="26"/>
        </w:rPr>
      </w:pPr>
    </w:p>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Стоимость 1 кв. метра в процессе реализации Программы будет меняться в соответствии с действующим законодательством, утверждающим среднюю рыночную стоимость 1 кв. метра общей площади жилья по субъекту РФ</w:t>
      </w:r>
    </w:p>
    <w:p>
      <w:pPr>
        <w:jc w:val="both"/>
        <w:textAlignment w:val="auto"/>
        <w:ind w:firstLine="540"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Объем финансирования на реализацию Программы за счет местного бюджета на 2014-2020 годы составляет 3097,605 тыс. руб.</w:t>
      </w:r>
    </w:p>
    <w:p>
      <w:pPr>
        <w:jc w:val="both"/>
        <w:textAlignment w:val="auto"/>
        <w:ind w:firstLine="540" w:left="0" w:right="0" w:start="0" w:end="0"/>
        <w:adjustRightInd w:val="true"/>
        <w:spacing w:after="0" w:line="240"/>
        <w:bidi w:val="false"/>
        <w:rPr>
          <w:rFonts w:ascii="Times New Roman" w:eastAsia="Times New Roman" w:hAnsi="Times New Roman" w:cs="Times New Roman"/>
          <w:sz w:val="26"/>
        </w:rPr>
      </w:pPr>
    </w:p>
    <w:tbl>
      <w:tblPr>
        <w:tblLayout w:type="fixed"/>
        <w:tblInd w:w="75" w:type="dxa"/>
        <w:tblW w:w="0" w:type="auto"/>
        <w:tblCellMar>
          <w:bottom w:w="75" w:type="dxa"/>
          <w:left w:w="75" w:type="dxa"/>
          <w:right w:w="75" w:type="dxa"/>
          <w:top w:w="75" w:type="dxa"/>
        </w:tblCellMar>
        <w:tblBorders>
          <w:left w:sz="0" w:space="0" w:val="nil"/>
          <w:right w:sz="0" w:space="0" w:val="nil"/>
          <w:top w:sz="0" w:space="0" w:val="nil"/>
          <w:bottom w:sz="0" w:space="0" w:val="nil"/>
          <w:insideV w:sz="0" w:space="0" w:val="nil"/>
          <w:insideH w:sz="0" w:space="0" w:val="nil"/>
        </w:tblBorders>
      </w:tblPr>
      <w:tblGrid>
        <w:gridCol w:w="2835"/>
        <w:gridCol w:w="3686"/>
      </w:tblGrid>
      <w:tr>
        <w:trPr>
          <w:trHeight w:val="400" w:hRule="atLeast"/>
        </w:trPr>
        <w:tc>
          <w:tcPr>
            <w:vMerge w:val="restart"/>
            <w:tcW w:type="dxa" w:w="2835"/>
            <w:tcBorders>
              <w:left w:sz="8" w:val="single"/>
              <w:top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Сроки реализации</w:t>
            </w:r>
          </w:p>
        </w:tc>
        <w:tc>
          <w:tcPr>
            <w:vMerge w:val="restart"/>
            <w:tcW w:type="dxa" w:w="3686"/>
            <w:tcBorders>
              <w:left w:sz="8" w:val="single"/>
              <w:top w:sz="8" w:val="single"/>
              <w:right w:sz="8" w:val="single"/>
              <w:bottom w:sz="8" w:val="single"/>
            </w:tcBorders>
            <w:shd w:val="nil"/>
            <w:vAlign w:val="top"/>
            <w:textDirection w:val="lrTb"/>
            <w:gridSpan w:val="1"/>
          </w:tcPr>
          <w:p>
            <w:pPr>
              <w:jc w:val="both"/>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Объем финансирования из местного бюджета МР «Бабынинский район», тыс. рублей.(*)</w:t>
            </w:r>
          </w:p>
        </w:tc>
      </w:tr>
      <w:tr>
        <w:trPr>
          <w:trHeight w:val="299" w:hRule="atLeast"/>
        </w:trPr>
        <w:tc>
          <w:tcPr>
            <w:vMerge w:val="continue"/>
            <w:tcW w:type="dxa" w:w="2835"/>
            <w:tcBorders>
              <w:left w:sz="8" w:val="single"/>
              <w:right w:sz="8" w:val="single"/>
              <w:bottom w:sz="8" w:val="single"/>
            </w:tcBorders>
            <w:shd w:val="nil"/>
            <w:vAlign w:val="top"/>
            <w:textDirection w:val="lrTb"/>
            <w:gridSpan w:val="1"/>
          </w:tcPr>
          <w:p>
            <w:pPr>
              <w:jc w:val="right"/>
              <w:textAlignment w:val="auto"/>
              <w:ind w:firstLine="720" w:left="0" w:right="0" w:start="0" w:end="0"/>
              <w:spacing w:after="0" w:line="240"/>
              <w:bidi w:val="false"/>
              <w:rPr>
                <w:rFonts w:ascii="Times New Roman" w:eastAsia="Times New Roman" w:hAnsi="Times New Roman" w:cs="Times New Roman"/>
                <w:sz w:val="26"/>
              </w:rPr>
            </w:pPr>
          </w:p>
        </w:tc>
        <w:tc>
          <w:tcPr>
            <w:vMerge w:val="continue"/>
            <w:tcW w:type="dxa" w:w="3686"/>
            <w:tcBorders>
              <w:left w:sz="8" w:val="single"/>
              <w:right w:sz="8" w:val="single"/>
              <w:bottom w:sz="8" w:val="single"/>
            </w:tcBorders>
            <w:shd w:val="nil"/>
            <w:vAlign w:val="top"/>
            <w:textDirection w:val="lrTb"/>
            <w:gridSpan w:val="1"/>
          </w:tcPr>
          <w:p>
            <w:pPr>
              <w:jc w:val="right"/>
              <w:textAlignment w:val="auto"/>
              <w:ind w:firstLine="720" w:left="0" w:right="0" w:start="0" w:end="0"/>
              <w:spacing w:after="0" w:line="240"/>
              <w:bidi w:val="false"/>
              <w:rPr>
                <w:rFonts w:ascii="Times New Roman" w:eastAsia="Times New Roman" w:hAnsi="Times New Roman" w:cs="Times New Roman"/>
                <w:sz w:val="26"/>
              </w:rPr>
            </w:pPr>
          </w:p>
        </w:tc>
      </w:tr>
      <w:tr>
        <w:tc>
          <w:tcPr>
            <w:tcW w:type="dxa" w:w="2835"/>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2014 год  </w:t>
            </w:r>
          </w:p>
        </w:tc>
        <w:tc>
          <w:tcPr>
            <w:tcW w:type="dxa" w:w="3686"/>
            <w:tcBorders>
              <w:left w:sz="8" w:val="single"/>
              <w:right w:sz="8" w:val="single"/>
              <w:bottom w:sz="8"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712,399</w:t>
            </w:r>
          </w:p>
        </w:tc>
      </w:tr>
      <w:tr>
        <w:tc>
          <w:tcPr>
            <w:tcW w:type="dxa" w:w="2835"/>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2015 год  </w:t>
            </w:r>
          </w:p>
        </w:tc>
        <w:tc>
          <w:tcPr>
            <w:tcW w:type="dxa" w:w="3686"/>
            <w:tcBorders>
              <w:left w:sz="8" w:val="single"/>
              <w:right w:sz="8" w:val="single"/>
              <w:bottom w:sz="8"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617,400</w:t>
            </w:r>
          </w:p>
        </w:tc>
      </w:tr>
      <w:tr>
        <w:tc>
          <w:tcPr>
            <w:tcW w:type="dxa" w:w="2835"/>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2016 год  </w:t>
            </w:r>
          </w:p>
        </w:tc>
        <w:tc>
          <w:tcPr>
            <w:tcW w:type="dxa" w:w="3686"/>
            <w:tcBorders>
              <w:left w:sz="8" w:val="single"/>
              <w:right w:sz="8" w:val="single"/>
              <w:bottom w:sz="8"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255,780</w:t>
            </w:r>
          </w:p>
        </w:tc>
      </w:tr>
      <w:tr>
        <w:tc>
          <w:tcPr>
            <w:tcW w:type="dxa" w:w="2835"/>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2017 год  </w:t>
            </w:r>
          </w:p>
        </w:tc>
        <w:tc>
          <w:tcPr>
            <w:tcW w:type="dxa" w:w="3686"/>
            <w:tcBorders>
              <w:left w:sz="8" w:val="single"/>
              <w:right w:sz="8" w:val="single"/>
              <w:bottom w:sz="8"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464,880</w:t>
            </w:r>
          </w:p>
        </w:tc>
      </w:tr>
      <w:tr>
        <w:tc>
          <w:tcPr>
            <w:tcW w:type="dxa" w:w="2835"/>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2018 год  </w:t>
            </w:r>
          </w:p>
        </w:tc>
        <w:tc>
          <w:tcPr>
            <w:tcW w:type="dxa" w:w="3686"/>
            <w:tcBorders>
              <w:left w:sz="8" w:val="single"/>
              <w:right w:sz="8" w:val="single"/>
              <w:bottom w:sz="8"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243,810</w:t>
            </w:r>
          </w:p>
        </w:tc>
      </w:tr>
      <w:tr>
        <w:tc>
          <w:tcPr>
            <w:tcW w:type="dxa" w:w="2835"/>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2019 год  </w:t>
            </w:r>
          </w:p>
        </w:tc>
        <w:tc>
          <w:tcPr>
            <w:tcW w:type="dxa" w:w="3686"/>
            <w:tcBorders>
              <w:left w:sz="8" w:val="single"/>
              <w:right w:sz="8" w:val="single"/>
              <w:bottom w:sz="8"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400,000</w:t>
            </w:r>
          </w:p>
        </w:tc>
      </w:tr>
      <w:tr>
        <w:tc>
          <w:tcPr>
            <w:tcW w:type="dxa" w:w="2835"/>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2020 год  </w:t>
            </w:r>
          </w:p>
        </w:tc>
        <w:tc>
          <w:tcPr>
            <w:tcW w:type="dxa" w:w="3686"/>
            <w:tcBorders>
              <w:left w:sz="8" w:val="single"/>
              <w:right w:sz="8" w:val="single"/>
              <w:bottom w:sz="8"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403,336</w:t>
            </w:r>
          </w:p>
        </w:tc>
      </w:tr>
      <w:tr>
        <w:tc>
          <w:tcPr>
            <w:tcW w:type="dxa" w:w="2835"/>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Всего     </w:t>
            </w:r>
          </w:p>
        </w:tc>
        <w:tc>
          <w:tcPr>
            <w:tcW w:type="dxa" w:w="3686"/>
            <w:tcBorders>
              <w:left w:sz="8" w:val="single"/>
              <w:right w:sz="8" w:val="single"/>
              <w:bottom w:sz="8" w:val="single"/>
            </w:tcBorders>
            <w:shd w:val="nil"/>
            <w:vAlign w:val="top"/>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3097,605</w:t>
            </w:r>
          </w:p>
        </w:tc>
      </w:tr>
    </w:tbl>
    <w:p>
      <w:pPr>
        <w:jc w:val="both"/>
        <w:textAlignment w:val="auto"/>
        <w:ind w:firstLine="540" w:left="0" w:right="0" w:start="0" w:end="0"/>
        <w:adjustRightInd w:val="true"/>
        <w:spacing w:after="0" w:line="240"/>
        <w:bidi w:val="false"/>
        <w:rPr>
          <w:rFonts w:ascii="Times New Roman" w:eastAsia="Times New Roman" w:hAnsi="Times New Roman" w:cs="Times New Roman"/>
          <w:sz w:val="26"/>
        </w:rPr>
      </w:pPr>
    </w:p>
    <w:p>
      <w:pPr>
        <w:jc w:val="both"/>
        <w:textAlignment w:val="auto"/>
        <w:ind w:firstLine="567" w:left="-65" w:right="0" w:start="-65" w:end="0"/>
        <w:adjustRightInd w:val="true"/>
        <w:spacing w:after="0" w:line="240"/>
        <w:bidi w:val="false"/>
        <w:rPr>
          <w:rFonts w:ascii="Times New Roman CYR" w:eastAsia="Times New Roman CYR" w:hAnsi="Times New Roman CYR" w:cs="Times New Roman CYR"/>
          <w:sz w:val="26"/>
        </w:rPr>
      </w:pPr>
      <w:r>
        <w:rPr>
          <w:rFonts w:ascii="Times New Roman" w:eastAsia="Times New Roman" w:hAnsi="Times New Roman" w:cs="Times New Roman"/>
          <w:sz w:val="26"/>
        </w:rPr>
        <w:t xml:space="preserve">(*)</w:t>
      </w:r>
      <w:r>
        <w:rPr>
          <w:rFonts w:ascii="Times New Roman CYR" w:eastAsia="Times New Roman CYR" w:hAnsi="Times New Roman CYR" w:cs="Times New Roman CYR"/>
          <w:sz w:val="26"/>
        </w:rPr>
        <w:t xml:space="preserve"> Объемы финансовых средств, направляемых на          </w:t>
      </w:r>
      <w:r>
        <w:rPr>
          <w:rFonts w:ascii="Times New Roman CYR" w:eastAsia="Times New Roman CYR" w:hAnsi="Times New Roman CYR" w:cs="Times New Roman CYR"/>
          <w:sz w:val="26"/>
        </w:rPr>
        <w:br w:type="textWrapping" w:clear="none"/>
      </w:r>
      <w:r>
        <w:rPr>
          <w:rFonts w:ascii="Times New Roman CYR" w:eastAsia="Times New Roman CYR" w:hAnsi="Times New Roman CYR" w:cs="Times New Roman CYR"/>
          <w:sz w:val="26"/>
        </w:rPr>
        <w:t xml:space="preserve">реализацию Программы из местного бюджета, ежегодно    </w:t>
      </w:r>
      <w:r>
        <w:rPr>
          <w:rFonts w:ascii="Times New Roman CYR" w:eastAsia="Times New Roman CYR" w:hAnsi="Times New Roman CYR" w:cs="Times New Roman CYR"/>
          <w:sz w:val="26"/>
        </w:rPr>
        <w:br w:type="textWrapping" w:clear="none"/>
      </w:r>
      <w:r>
        <w:rPr>
          <w:rFonts w:ascii="Times New Roman CYR" w:eastAsia="Times New Roman CYR" w:hAnsi="Times New Roman CYR" w:cs="Times New Roman CYR"/>
          <w:sz w:val="26"/>
        </w:rPr>
        <w:t xml:space="preserve">уточняются после принятия бюджета на очередной финансовый год и на      плановый период.</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Объем субсидий из федерального бюджета ежегодно определяется после утверждения федерального бюджета на очередной финансовый год и на плановый период и заключения соглашения между Министерством сельского хозяйства Российской Федерации и Правительством Калужской области.</w:t>
      </w:r>
    </w:p>
    <w:p>
      <w:pPr>
        <w:jc w:val="both"/>
        <w:textAlignment w:val="auto"/>
        <w:ind w:firstLine="540" w:left="0" w:right="0" w:start="0" w:end="0"/>
        <w:spacing w:after="0" w:line="240"/>
        <w:bidi w:val="false"/>
        <w:rPr>
          <w:rFonts w:ascii="Times New Roman" w:eastAsia="Times New Roman" w:hAnsi="Times New Roman" w:cs="Times New Roman"/>
          <w:sz w:val="26"/>
        </w:rPr>
      </w:pPr>
      <w:bookmarkStart w:id="1" w:name="Par436"/>
      <w:bookmarkEnd w:id="1"/>
      <w:r>
        <w:rPr>
          <w:rFonts w:ascii="Times New Roman" w:eastAsia="Times New Roman" w:hAnsi="Times New Roman" w:cs="Times New Roman"/>
          <w:sz w:val="26"/>
        </w:rPr>
        <w:t xml:space="preserve">Объемы средств местных бюджетов определяются в соглашениях между министерством сельского хозяйства Калужской области и муниципальными районами Калужской области.</w:t>
      </w:r>
    </w:p>
    <w:p>
      <w:pPr>
        <w:jc w:val="both"/>
        <w:textAlignment w:val="auto"/>
        <w:ind w:firstLine="540"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Объем финансирования из федерального и областного бюджетов определяется в рамках текущего финансирования.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Объемы финансирования за счет внебюджетных источников определяется в соответствии с действующим законодательством.»</w:t>
      </w:r>
    </w:p>
    <w:p>
      <w:pPr>
        <w:jc w:val="both"/>
        <w:textAlignment w:val="auto"/>
        <w:ind w:hanging="709" w:left="709" w:right="0" w:start="709" w:end="0"/>
        <w:adjustRightInd w:val="true"/>
        <w:spacing w:after="0" w:line="240"/>
        <w:bidi w:val="false"/>
        <w:numPr>
          <w:ilvl w:val="1"/>
          <w:numId w:val="8"/>
        </w:numPr>
        <w:rPr>
          <w:rFonts w:ascii="Times New Roman" w:eastAsia="Times New Roman" w:hAnsi="Times New Roman" w:cs="Times New Roman"/>
          <w:sz w:val="26"/>
        </w:rPr>
      </w:pPr>
      <w:r>
        <w:rPr>
          <w:rFonts w:ascii="Times New Roman" w:eastAsia="Times New Roman" w:hAnsi="Times New Roman" w:cs="Times New Roman"/>
          <w:sz w:val="26"/>
        </w:rPr>
        <w:t xml:space="preserve">Пункт 5 Программы «Система основных мероприятий Программы» изложить в новой редакции:</w:t>
      </w:r>
    </w:p>
    <w:p>
      <w:pPr>
        <w:jc w:val="both"/>
        <w:textAlignment w:val="auto"/>
        <w:ind w:hanging="709" w:left="709" w:right="0" w:start="709"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«Система основных мероприятий Программы, направленных на достижение цели, с указанием сроков, ресурсов и исполнителей представлена в приложении N 1 к Программе.</w:t>
      </w:r>
    </w:p>
    <w:p>
      <w:pPr>
        <w:jc w:val="both"/>
        <w:textAlignment w:val="auto"/>
        <w:ind w:hanging="709" w:left="709" w:right="0" w:start="709"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В Программе предусмотрена реализация следующих мероприятий:</w:t>
      </w:r>
    </w:p>
    <w:p>
      <w:pPr>
        <w:jc w:val="both"/>
        <w:textAlignment w:val="auto"/>
        <w:ind w:hanging="709" w:left="709" w:right="0" w:start="709"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улучшение жилищных условий граждан, проживающих в сельской местности, в том числе молодых семей и молодых специалистов.»</w:t>
      </w:r>
    </w:p>
    <w:p>
      <w:pPr>
        <w:jc w:val="both"/>
        <w:textAlignment w:val="auto"/>
        <w:ind w:hanging="709" w:left="709" w:right="0" w:start="709" w:end="0"/>
        <w:adjustRightInd w:val="true"/>
        <w:spacing w:after="0" w:line="240"/>
        <w:bidi w:val="false"/>
        <w:numPr>
          <w:ilvl w:val="1"/>
          <w:numId w:val="8"/>
        </w:numPr>
        <w:rPr>
          <w:rFonts w:ascii="Times New Roman" w:eastAsia="Times New Roman" w:hAnsi="Times New Roman" w:cs="Times New Roman"/>
          <w:sz w:val="26"/>
        </w:rPr>
      </w:pPr>
      <w:r>
        <w:rPr>
          <w:rFonts w:ascii="Times New Roman" w:eastAsia="Times New Roman" w:hAnsi="Times New Roman" w:cs="Times New Roman"/>
          <w:sz w:val="26"/>
        </w:rPr>
        <w:t xml:space="preserve">Абзац 3 подпункта 5.1  Пункта 5 Программы  «Улучшение жилищных условий граждан, проживающих в сельской местности, в том числе молодых семей и молодых специалистов» изложить в новой редакции:</w:t>
      </w:r>
    </w:p>
    <w:p>
      <w:pPr>
        <w:jc w:val="both"/>
        <w:textAlignment w:val="auto"/>
        <w:ind w:hanging="709" w:left="709" w:right="0" w:start="709"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«Реализация указанных мероприятий к программе позволит:</w:t>
      </w:r>
    </w:p>
    <w:p>
      <w:pPr>
        <w:jc w:val="both"/>
        <w:textAlignment w:val="auto"/>
        <w:ind w:hanging="709" w:left="709" w:right="0" w:start="709"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ввести в эксплуатацию и приобрести 1377 кв. метров жилья;</w:t>
      </w:r>
    </w:p>
    <w:p>
      <w:pPr>
        <w:jc w:val="both"/>
        <w:textAlignment w:val="auto"/>
        <w:ind w:hanging="709" w:left="709" w:right="0" w:start="709"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улучшить жилищные условия 21 семьи;</w:t>
      </w:r>
    </w:p>
    <w:p>
      <w:pPr>
        <w:jc w:val="both"/>
        <w:textAlignment w:val="auto"/>
        <w:ind w:hanging="709" w:left="709" w:right="0" w:start="709"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создать условия для закрепления молодых специалистов в агропромышленном комплексе и социальной сфере села, а также приостановить миграцию молодежи из сельской местности.»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1.8. Подпункт 5.2.  Пункта 5 Программы «Обустройство населенных пунктов,</w:t>
      </w:r>
    </w:p>
    <w:p>
      <w:pPr>
        <w:jc w:val="both"/>
        <w:textAlignment w:val="auto"/>
        <w:ind w:firstLine="142"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расположенных в сельской местности, объектами социальной и инженерной инфраструктуры» исключить.</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1.9.</w:t>
      </w:r>
      <w:r>
        <w:rPr>
          <w:rFonts w:ascii="Times New Roman" w:eastAsia="Times New Roman" w:hAnsi="Times New Roman" w:cs="Times New Roman"/>
          <w:sz w:val="24"/>
        </w:rPr>
        <w:t xml:space="preserve"> </w:t>
      </w:r>
      <w:r>
        <w:rPr>
          <w:rFonts w:ascii="Times New Roman" w:eastAsia="Times New Roman" w:hAnsi="Times New Roman" w:cs="Times New Roman"/>
          <w:sz w:val="26"/>
        </w:rPr>
        <w:t xml:space="preserve">Абзац 1 Пункта 6  Программы «Система целевых индикаторов Программы» изложить в новой редакции:</w:t>
      </w: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w:t>
      </w:r>
      <w:r>
        <w:rPr>
          <w:b w:val="true"/>
          <w:rFonts w:ascii="Times New Roman" w:eastAsia="Times New Roman" w:hAnsi="Times New Roman" w:cs="Times New Roman"/>
          <w:sz w:val="24"/>
        </w:rPr>
        <w:t xml:space="preserve"> </w:t>
      </w:r>
      <w:r>
        <w:rPr>
          <w:rFonts w:ascii="Times New Roman" w:eastAsia="Times New Roman" w:hAnsi="Times New Roman" w:cs="Times New Roman"/>
          <w:sz w:val="26"/>
        </w:rPr>
        <w:t xml:space="preserve">В результате реализации мероприятий Программы будут сформированы необходимые условия для устойчивого развития сельских территорий.</w: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СВЕДЕНИЯ</w:t>
      </w: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об индикаторах программы и их значениях</w:t>
      </w:r>
    </w:p>
    <w:p>
      <w:pPr>
        <w:jc w:val="center"/>
        <w:textAlignment w:val="auto"/>
        <w:ind w:left="0" w:right="0" w:start="0" w:end="0"/>
        <w:spacing w:after="0" w:line="240"/>
        <w:bidi w:val="false"/>
        <w:rPr>
          <w:rFonts w:ascii="Times New Roman" w:eastAsia="Times New Roman" w:hAnsi="Times New Roman" w:cs="Times New Roman"/>
          <w:sz w:val="26"/>
        </w:rPr>
      </w:pPr>
    </w:p>
    <w:tbl>
      <w:tblPr>
        <w:tblLayout w:type="fixed"/>
        <w:tblInd w:w="0" w:type="dxa"/>
        <w:tblW w:w="9747" w:type="dxa"/>
        <w:tblCellMar>
          <w:bottom w:w="0" w:type="dxa"/>
          <w:left w:w="108" w:type="dxa"/>
          <w:right w:w="108" w:type="dxa"/>
          <w:top w:w="0" w:type="dxa"/>
        </w:tblCellMar>
        <w:tblBorders>
          <w:left w:sz="4" w:space="0" w:val="single"/>
          <w:right w:sz="4" w:space="0" w:val="single"/>
          <w:top w:sz="4" w:space="0" w:val="single"/>
          <w:bottom w:sz="4" w:space="0" w:val="single"/>
          <w:insideV w:sz="4" w:space="0" w:val="single"/>
          <w:insideH w:sz="4" w:space="0" w:val="single"/>
        </w:tblBorders>
      </w:tblPr>
      <w:tblGrid>
        <w:gridCol w:w="1951"/>
        <w:gridCol w:w="851"/>
        <w:gridCol w:w="850"/>
        <w:gridCol w:w="709"/>
        <w:gridCol w:w="709"/>
        <w:gridCol w:w="709"/>
        <w:gridCol w:w="708"/>
        <w:gridCol w:w="567"/>
        <w:gridCol w:w="709"/>
        <w:gridCol w:w="709"/>
        <w:gridCol w:w="566"/>
        <w:gridCol w:w="709"/>
      </w:tblGrid>
      <w:tr>
        <w:tc>
          <w:tcPr>
            <w:vMerge w:val="restart"/>
            <w:tcW w:type="dxa" w:w="1951"/>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п/п</w:t>
            </w:r>
          </w:p>
        </w:tc>
        <w:tc>
          <w:tcPr>
            <w:vMerge w:val="restart"/>
            <w:tcW w:type="dxa" w:w="851"/>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Наименование показателя </w:t>
            </w:r>
          </w:p>
        </w:tc>
        <w:tc>
          <w:tcPr>
            <w:vMerge w:val="restart"/>
            <w:tcW w:type="dxa" w:w="850"/>
            <w:tcBorders>
              <w:left w:sz="4" w:val="single"/>
              <w:top w:sz="4" w:val="single"/>
              <w:right w:sz="4" w:val="single"/>
              <w:bottom w:sz="4" w:val="single"/>
            </w:tcBorders>
            <w:shd w:val="nil"/>
            <w:vAlign w:val="center"/>
            <w:textDirection w:val="lrTb"/>
            <w:gridSpan w:val="1"/>
          </w:tcPr>
          <w:p>
            <w:pPr>
              <w:jc w:val="center"/>
              <w:textAlignment w:val="auto"/>
              <w:ind w:left="-113" w:right="-113" w:start="-113" w:end="-113"/>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Ед. изм.</w:t>
            </w:r>
          </w:p>
        </w:tc>
        <w:tc>
          <w:tcPr>
            <w:tcW w:type="dxa" w:w="6095"/>
            <w:tcBorders>
              <w:left w:sz="4" w:val="single"/>
              <w:top w:sz="4" w:val="single"/>
              <w:right w:sz="4" w:val="single"/>
              <w:bottom w:sz="4" w:val="single"/>
            </w:tcBorders>
            <w:shd w:val="nil"/>
            <w:vAlign w:val="center"/>
            <w:textDirection w:val="lrTb"/>
            <w:gridSpan w:val="9"/>
          </w:tcPr>
          <w:p>
            <w:pPr>
              <w:jc w:val="center"/>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Значение по годам:</w:t>
            </w:r>
          </w:p>
        </w:tc>
      </w:tr>
      <w:tr>
        <w:tc>
          <w:tcPr>
            <w:vMerge w:val="continue"/>
            <w:tcW w:type="dxa" w:w="1951"/>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p>
        </w:tc>
        <w:tc>
          <w:tcPr>
            <w:vMerge w:val="continue"/>
            <w:tcW w:type="dxa" w:w="851"/>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p>
        </w:tc>
        <w:tc>
          <w:tcPr>
            <w:vMerge w:val="continue"/>
            <w:tcW w:type="dxa" w:w="850"/>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p>
        </w:tc>
        <w:tc>
          <w:tcPr>
            <w:vMerge w:val="restart"/>
            <w:tcW w:type="dxa" w:w="709"/>
            <w:tcBorders>
              <w:left w:sz="4" w:val="single"/>
              <w:top w:sz="4" w:val="single"/>
              <w:right w:sz="4" w:val="single"/>
              <w:bottom w:sz="4" w:val="single"/>
            </w:tcBorders>
            <w:shd w:val="nil"/>
            <w:vAlign w:val="center"/>
            <w:textDirection w:val="lrTb"/>
            <w:gridSpan w:val="1"/>
          </w:tcPr>
          <w:p>
            <w:pPr>
              <w:jc w:val="center"/>
              <w:textAlignment w:val="auto"/>
              <w:ind w:left="-113" w:right="-113" w:start="-113" w:end="-113"/>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2012</w:t>
            </w:r>
          </w:p>
          <w:p>
            <w:pPr>
              <w:jc w:val="center"/>
              <w:textAlignment w:val="auto"/>
              <w:ind w:left="-113" w:right="-113" w:start="-113" w:end="-113"/>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факт</w:t>
            </w:r>
          </w:p>
        </w:tc>
        <w:tc>
          <w:tcPr>
            <w:vMerge w:val="restart"/>
            <w:tcW w:type="dxa" w:w="709"/>
            <w:tcBorders>
              <w:left w:sz="4" w:val="single"/>
              <w:top w:sz="4" w:val="single"/>
              <w:right w:sz="4" w:val="single"/>
              <w:bottom w:sz="4" w:val="single"/>
            </w:tcBorders>
            <w:shd w:val="nil"/>
            <w:vAlign w:val="center"/>
            <w:textDirection w:val="lrTb"/>
            <w:gridSpan w:val="1"/>
          </w:tcPr>
          <w:p>
            <w:pPr>
              <w:jc w:val="center"/>
              <w:textAlignment w:val="auto"/>
              <w:ind w:left="-113" w:right="-113" w:start="-113" w:end="-113"/>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2013 оценка</w:t>
            </w:r>
          </w:p>
        </w:tc>
        <w:tc>
          <w:tcPr>
            <w:tcW w:type="dxa" w:w="4677"/>
            <w:tcBorders>
              <w:left w:sz="4" w:val="single"/>
              <w:top w:sz="4" w:val="single"/>
              <w:right w:sz="4" w:val="single"/>
              <w:bottom w:sz="4" w:val="single"/>
            </w:tcBorders>
            <w:shd w:val="nil"/>
            <w:vAlign w:val="center"/>
            <w:textDirection w:val="lrTb"/>
            <w:gridSpan w:val="7"/>
          </w:tcPr>
          <w:p>
            <w:pPr>
              <w:jc w:val="center"/>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реализации подпрограммы</w:t>
            </w:r>
          </w:p>
        </w:tc>
      </w:tr>
      <w:tr>
        <w:tc>
          <w:tcPr>
            <w:vMerge w:val="continue"/>
            <w:tcW w:type="dxa" w:w="1951"/>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p>
        </w:tc>
        <w:tc>
          <w:tcPr>
            <w:vMerge w:val="continue"/>
            <w:tcW w:type="dxa" w:w="851"/>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p>
        </w:tc>
        <w:tc>
          <w:tcPr>
            <w:vMerge w:val="continue"/>
            <w:tcW w:type="dxa" w:w="850"/>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p>
        </w:tc>
        <w:tc>
          <w:tcPr>
            <w:vMerge w:val="continue"/>
            <w:tcW w:type="dxa" w:w="709"/>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p>
        </w:tc>
        <w:tc>
          <w:tcPr>
            <w:vMerge w:val="continue"/>
            <w:tcW w:type="dxa" w:w="709"/>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p>
        </w:tc>
        <w:tc>
          <w:tcPr>
            <w:tcW w:type="dxa" w:w="709"/>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r>
              <w:rPr>
                <w:rFonts w:ascii="Times New Roman" w:eastAsia="Times New Roman" w:hAnsi="Times New Roman" w:cs="Times New Roman"/>
                <w:sz w:val="22"/>
              </w:rPr>
              <w:t xml:space="preserve">2014 </w:t>
            </w:r>
          </w:p>
        </w:tc>
        <w:tc>
          <w:tcPr>
            <w:tcW w:type="dxa" w:w="708"/>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r>
              <w:rPr>
                <w:rFonts w:ascii="Times New Roman" w:eastAsia="Times New Roman" w:hAnsi="Times New Roman" w:cs="Times New Roman"/>
                <w:sz w:val="22"/>
              </w:rPr>
              <w:t xml:space="preserve">2015</w:t>
            </w:r>
          </w:p>
        </w:tc>
        <w:tc>
          <w:tcPr>
            <w:tcW w:type="dxa" w:w="567"/>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r>
              <w:rPr>
                <w:rFonts w:ascii="Times New Roman" w:eastAsia="Times New Roman" w:hAnsi="Times New Roman" w:cs="Times New Roman"/>
                <w:sz w:val="22"/>
              </w:rPr>
              <w:t xml:space="preserve">2016</w:t>
            </w:r>
          </w:p>
        </w:tc>
        <w:tc>
          <w:tcPr>
            <w:tcW w:type="dxa" w:w="709"/>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r>
              <w:rPr>
                <w:rFonts w:ascii="Times New Roman" w:eastAsia="Times New Roman" w:hAnsi="Times New Roman" w:cs="Times New Roman"/>
                <w:sz w:val="22"/>
              </w:rPr>
              <w:t xml:space="preserve">2017</w:t>
            </w:r>
          </w:p>
        </w:tc>
        <w:tc>
          <w:tcPr>
            <w:tcW w:type="dxa" w:w="709"/>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r>
              <w:rPr>
                <w:rFonts w:ascii="Times New Roman" w:eastAsia="Times New Roman" w:hAnsi="Times New Roman" w:cs="Times New Roman"/>
                <w:sz w:val="22"/>
              </w:rPr>
              <w:t xml:space="preserve">2018</w:t>
            </w:r>
          </w:p>
        </w:tc>
        <w:tc>
          <w:tcPr>
            <w:tcW w:type="dxa" w:w="566"/>
            <w:tcBorders>
              <w:left w:sz="4" w:val="single"/>
              <w:top w:sz="4" w:val="single"/>
              <w:right w:sz="4" w:val="single"/>
              <w:bottom w:sz="4" w:val="single"/>
            </w:tcBorders>
            <w:shd w:val="nil"/>
            <w:vAlign w:val="center"/>
            <w:textDirection w:val="lrTb"/>
            <w:gridSpan w:val="1"/>
          </w:tcPr>
          <w:p>
            <w:pPr>
              <w:jc w:val="center"/>
              <w:textAlignment w:val="auto"/>
              <w:ind w:left="-57" w:right="-57" w:start="-57" w:end="-57"/>
              <w:spacing w:after="0" w:line="240"/>
              <w:bidi w:val="false"/>
              <w:rPr>
                <w:rFonts w:ascii="Times New Roman" w:eastAsia="Times New Roman" w:hAnsi="Times New Roman" w:cs="Times New Roman"/>
                <w:sz w:val="20"/>
              </w:rPr>
            </w:pPr>
            <w:r>
              <w:rPr>
                <w:rFonts w:ascii="Times New Roman" w:eastAsia="Times New Roman" w:hAnsi="Times New Roman" w:cs="Times New Roman"/>
                <w:sz w:val="22"/>
              </w:rPr>
              <w:t xml:space="preserve">2019</w:t>
            </w:r>
          </w:p>
        </w:tc>
        <w:tc>
          <w:tcPr>
            <w:tcW w:type="dxa" w:w="709"/>
            <w:tcBorders>
              <w:left w:sz="4" w:val="single"/>
              <w:top w:sz="4" w:val="single"/>
              <w:right w:sz="4" w:val="single"/>
              <w:bottom w:sz="4" w:val="single"/>
            </w:tcBorders>
            <w:shd w:val="nil"/>
            <w:vAlign w:val="center"/>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2"/>
              </w:rPr>
              <w:t xml:space="preserve">2020</w:t>
            </w:r>
          </w:p>
        </w:tc>
      </w:tr>
      <w:tr>
        <w:tc>
          <w:tcPr>
            <w:vMerge w:val="restart"/>
            <w:tcW w:type="dxa" w:w="1951"/>
            <w:tcBorders>
              <w:left w:sz="4" w:val="single"/>
              <w:top w:sz="4" w:val="single"/>
              <w:right w:sz="4" w:val="single"/>
              <w:bottom w:sz="4" w:val="single"/>
            </w:tcBorders>
            <w:shd w:val="nil"/>
            <w:vAlign w:val="top"/>
            <w:textDirection w:val="lrTb"/>
            <w:gridSpan w:val="1"/>
          </w:tcPr>
          <w:p>
            <w:pPr>
              <w:jc w:val="both"/>
              <w:textAlignment w:val="auto"/>
              <w:ind w:left="0" w:right="-108" w:start="0" w:end="-108"/>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Улучшение жилищных условий граждан, проживающих в сельской местности, в том числе молодых семей и молодых специалистов</w:t>
            </w:r>
          </w:p>
        </w:tc>
        <w:tc>
          <w:tcPr>
            <w:tcW w:type="dxa" w:w="851"/>
            <w:tcBorders>
              <w:left w:sz="4" w:val="single"/>
              <w:top w:sz="4" w:val="single"/>
              <w:right w:sz="4" w:val="single"/>
              <w:bottom w:sz="4" w:val="single"/>
            </w:tcBorders>
            <w:shd w:val="nil"/>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Количество кв.м. </w:t>
            </w:r>
          </w:p>
        </w:tc>
        <w:tc>
          <w:tcPr>
            <w:tcW w:type="dxa" w:w="850"/>
            <w:tcBorders>
              <w:left w:sz="4" w:val="single"/>
              <w:top w:sz="4" w:val="single"/>
              <w:right w:sz="4" w:val="single"/>
              <w:bottom w:sz="4" w:val="single"/>
            </w:tcBorders>
            <w:shd w:val="nil"/>
            <w:vAlign w:val="bottom"/>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2"/>
                <w:color w:val="000000"/>
              </w:rPr>
              <w:t xml:space="preserve">кв. м</w:t>
            </w:r>
          </w:p>
        </w:tc>
        <w:tc>
          <w:tcPr>
            <w:tcW w:type="dxa" w:w="709"/>
            <w:tcBorders>
              <w:left w:sz="4" w:val="single"/>
              <w:top w:sz="4" w:val="single"/>
              <w:right w:sz="4" w:val="single"/>
              <w:bottom w:sz="4" w:val="single"/>
            </w:tcBorders>
            <w:shd w:val="nil"/>
            <w:vAlign w:val="bottom"/>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49,7</w:t>
            </w:r>
          </w:p>
        </w:tc>
        <w:tc>
          <w:tcPr>
            <w:tcW w:type="dxa" w:w="709"/>
            <w:tcBorders>
              <w:left w:sz="4" w:val="single"/>
              <w:top w:sz="4" w:val="single"/>
              <w:right w:sz="4" w:val="single"/>
              <w:bottom w:sz="4" w:val="single"/>
            </w:tcBorders>
            <w:shd w:val="nil"/>
            <w:vAlign w:val="bottom"/>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89,4</w:t>
            </w:r>
          </w:p>
        </w:tc>
        <w:tc>
          <w:tcPr>
            <w:tcW w:type="dxa" w:w="709"/>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204</w:t>
            </w:r>
          </w:p>
        </w:tc>
        <w:tc>
          <w:tcPr>
            <w:tcW w:type="dxa" w:w="708"/>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198</w:t>
            </w:r>
          </w:p>
        </w:tc>
        <w:tc>
          <w:tcPr>
            <w:tcW w:type="dxa" w:w="567"/>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87</w:t>
            </w:r>
          </w:p>
        </w:tc>
        <w:tc>
          <w:tcPr>
            <w:tcW w:type="dxa" w:w="709"/>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312</w:t>
            </w:r>
          </w:p>
        </w:tc>
        <w:tc>
          <w:tcPr>
            <w:tcW w:type="dxa" w:w="709"/>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162</w:t>
            </w:r>
          </w:p>
        </w:tc>
        <w:tc>
          <w:tcPr>
            <w:tcW w:type="dxa" w:w="566"/>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216</w:t>
            </w:r>
          </w:p>
        </w:tc>
        <w:tc>
          <w:tcPr>
            <w:tcW w:type="dxa" w:w="709"/>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198</w:t>
            </w:r>
          </w:p>
        </w:tc>
      </w:tr>
      <w:tr>
        <w:tc>
          <w:tcPr>
            <w:vMerge w:val="continue"/>
            <w:tcW w:type="dxa" w:w="1951"/>
            <w:tcBorders>
              <w:left w:sz="4" w:val="single"/>
              <w:top w:sz="4" w:val="single"/>
              <w:right w:sz="4" w:val="single"/>
              <w:bottom w:sz="4" w:val="single"/>
            </w:tcBorders>
            <w:shd w:val="nil"/>
            <w:vAlign w:val="top"/>
            <w:textDirection w:val="lrTb"/>
            <w:gridSpan w:val="1"/>
          </w:tcPr>
          <w:p>
            <w:pPr>
              <w:jc w:val="both"/>
              <w:textAlignment w:val="auto"/>
              <w:ind w:left="0" w:right="-108" w:start="0" w:end="-108"/>
              <w:spacing w:after="0" w:line="240"/>
              <w:bidi w:val="false"/>
              <w:rPr>
                <w:rFonts w:ascii="Times New Roman" w:eastAsia="Times New Roman" w:hAnsi="Times New Roman" w:cs="Times New Roman"/>
                <w:sz w:val="22"/>
              </w:rPr>
            </w:pPr>
          </w:p>
        </w:tc>
        <w:tc>
          <w:tcPr>
            <w:tcW w:type="dxa" w:w="851"/>
            <w:tcBorders>
              <w:left w:sz="4" w:val="single"/>
              <w:top w:sz="4" w:val="single"/>
              <w:right w:sz="4" w:val="single"/>
              <w:bottom w:sz="4" w:val="single"/>
            </w:tcBorders>
            <w:shd w:val="nil"/>
            <w:vAlign w:val="bottom"/>
            <w:textDirection w:val="lrTb"/>
            <w:gridSpan w:val="1"/>
          </w:tcPr>
          <w:p>
            <w:pPr>
              <w:jc w:val="lef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Количество семей</w:t>
            </w:r>
          </w:p>
        </w:tc>
        <w:tc>
          <w:tcPr>
            <w:tcW w:type="dxa" w:w="850"/>
            <w:tcBorders>
              <w:left w:sz="4" w:val="single"/>
              <w:top w:sz="4" w:val="single"/>
              <w:right w:sz="4" w:val="single"/>
              <w:bottom w:sz="4" w:val="single"/>
            </w:tcBorders>
            <w:shd w:val="nil"/>
            <w:vAlign w:val="bottom"/>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Ед.</w:t>
            </w:r>
          </w:p>
        </w:tc>
        <w:tc>
          <w:tcPr>
            <w:tcW w:type="dxa" w:w="709"/>
            <w:tcBorders>
              <w:left w:sz="4" w:val="single"/>
              <w:top w:sz="4" w:val="single"/>
              <w:right w:sz="4" w:val="single"/>
              <w:bottom w:sz="4" w:val="single"/>
            </w:tcBorders>
            <w:shd w:val="nil"/>
            <w:vAlign w:val="bottom"/>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1</w:t>
            </w:r>
          </w:p>
        </w:tc>
        <w:tc>
          <w:tcPr>
            <w:tcW w:type="dxa" w:w="709"/>
            <w:tcBorders>
              <w:left w:sz="4" w:val="single"/>
              <w:top w:sz="4" w:val="single"/>
              <w:right w:sz="4" w:val="single"/>
              <w:bottom w:sz="4" w:val="single"/>
            </w:tcBorders>
            <w:shd w:val="nil"/>
            <w:vAlign w:val="bottom"/>
            <w:textDirection w:val="lrTb"/>
            <w:gridSpan w:val="1"/>
          </w:tcPr>
          <w:p>
            <w:pPr>
              <w:jc w:val="center"/>
              <w:textAlignment w:val="auto"/>
              <w:ind w:left="0" w:right="0" w:start="0" w:end="0"/>
              <w:spacing w:after="0" w:line="240"/>
              <w:bidi w:val="false"/>
              <w:rPr>
                <w:rFonts w:ascii="Times New Roman" w:eastAsia="Times New Roman" w:hAnsi="Times New Roman" w:cs="Times New Roman"/>
                <w:sz w:val="22"/>
              </w:rPr>
            </w:pPr>
            <w:r>
              <w:rPr>
                <w:rFonts w:ascii="Times New Roman" w:eastAsia="Times New Roman" w:hAnsi="Times New Roman" w:cs="Times New Roman"/>
                <w:sz w:val="22"/>
              </w:rPr>
              <w:t xml:space="preserve">2</w:t>
            </w:r>
          </w:p>
        </w:tc>
        <w:tc>
          <w:tcPr>
            <w:tcW w:type="dxa" w:w="709"/>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3</w:t>
            </w:r>
          </w:p>
        </w:tc>
        <w:tc>
          <w:tcPr>
            <w:tcW w:type="dxa" w:w="708"/>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3</w:t>
            </w:r>
          </w:p>
        </w:tc>
        <w:tc>
          <w:tcPr>
            <w:tcW w:type="dxa" w:w="567"/>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2</w:t>
            </w:r>
          </w:p>
        </w:tc>
        <w:tc>
          <w:tcPr>
            <w:tcW w:type="dxa" w:w="709"/>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5</w:t>
            </w:r>
          </w:p>
        </w:tc>
        <w:tc>
          <w:tcPr>
            <w:tcW w:type="dxa" w:w="709"/>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2</w:t>
            </w:r>
          </w:p>
        </w:tc>
        <w:tc>
          <w:tcPr>
            <w:tcW w:type="dxa" w:w="566"/>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3</w:t>
            </w:r>
          </w:p>
        </w:tc>
        <w:tc>
          <w:tcPr>
            <w:tcW w:type="dxa" w:w="709"/>
            <w:tcBorders>
              <w:left w:sz="4" w:val="single"/>
              <w:top w:sz="4" w:val="single"/>
              <w:right w:sz="4" w:val="single"/>
              <w:bottom w:sz="4" w:val="single"/>
            </w:tcBorders>
            <w:shd w:val="nil"/>
            <w:vAlign w:val="bottom"/>
            <w:textDirection w:val="lrTb"/>
            <w:gridSpan w:val="1"/>
          </w:tcPr>
          <w:p>
            <w:pPr>
              <w:jc w:val="right"/>
              <w:textAlignment w:val="auto"/>
              <w:ind w:left="0" w:right="0" w:start="0" w:end="0"/>
              <w:adjustRightInd w:val="true"/>
              <w:spacing w:after="0" w:line="240"/>
              <w:bidi w:val="false"/>
              <w:rPr>
                <w:rFonts w:ascii="Times New Roman" w:eastAsia="Times New Roman" w:hAnsi="Times New Roman" w:cs="Times New Roman"/>
                <w:sz w:val="22"/>
                <w:color w:val="000000"/>
              </w:rPr>
            </w:pPr>
            <w:r>
              <w:rPr>
                <w:rFonts w:ascii="Times New Roman" w:eastAsia="Times New Roman" w:hAnsi="Times New Roman" w:cs="Times New Roman"/>
                <w:sz w:val="22"/>
                <w:color w:val="000000"/>
              </w:rPr>
              <w:t xml:space="preserve">3</w:t>
            </w:r>
          </w:p>
        </w:tc>
      </w:tr>
    </w:tbl>
    <w:p>
      <w:pPr>
        <w:jc w:val="both"/>
        <w:textAlignment w:val="auto"/>
        <w:ind w:firstLine="540" w:left="0" w:right="0" w:start="0" w:end="0"/>
        <w:spacing w:after="0" w:line="240"/>
        <w:bidi w:val="false"/>
        <w:rPr>
          <w:rFonts w:ascii="Times New Roman" w:eastAsia="Times New Roman" w:hAnsi="Times New Roman" w:cs="Times New Roman"/>
          <w:sz w:val="26"/>
        </w:rPr>
      </w:pPr>
    </w:p>
    <w:p>
      <w:pPr>
        <w:jc w:val="both"/>
        <w:textAlignment w:val="auto"/>
        <w:ind w:firstLine="540"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1.7 Абзац 4 Пункта 6  Программы «Система целевых индикаторов Программы» изложить в новой редакции:</w:t>
      </w:r>
    </w:p>
    <w:p>
      <w:pPr>
        <w:jc w:val="both"/>
        <w:textAlignment w:val="auto"/>
        <w:ind w:left="0" w:right="0" w:start="0" w:end="0"/>
        <w:adjustRightInd w:val="true"/>
        <w:spacing w:after="0" w:line="240"/>
        <w:bidi w:val="false"/>
        <w:tabs>
          <w:tab w:val="left" w:pos="0"/>
        </w:tabs>
        <w:rPr>
          <w:rFonts w:ascii="Times New Roman" w:eastAsia="Times New Roman" w:hAnsi="Times New Roman" w:cs="Times New Roman"/>
          <w:sz w:val="26"/>
        </w:rPr>
      </w:pPr>
      <w:r>
        <w:rPr>
          <w:rFonts w:ascii="Times New Roman" w:eastAsia="Times New Roman" w:hAnsi="Times New Roman" w:cs="Times New Roman"/>
          <w:sz w:val="26"/>
        </w:rPr>
        <w:t xml:space="preserve">« В результате реализации мероприятий Программы будут достигнуты следующие результаты:</w:t>
      </w:r>
    </w:p>
    <w:p>
      <w:pPr>
        <w:jc w:val="both"/>
        <w:textAlignment w:val="auto"/>
        <w:ind w:left="0" w:right="0" w:start="0" w:end="0"/>
        <w:adjustRightInd w:val="true"/>
        <w:spacing w:after="0" w:line="240"/>
        <w:bidi w:val="false"/>
        <w:tabs>
          <w:tab w:val="left" w:pos="0"/>
        </w:tabs>
        <w:rPr>
          <w:rFonts w:ascii="Times New Roman" w:eastAsia="Times New Roman" w:hAnsi="Times New Roman" w:cs="Times New Roman"/>
          <w:sz w:val="26"/>
        </w:rPr>
      </w:pPr>
      <w:r>
        <w:rPr>
          <w:rFonts w:ascii="Times New Roman" w:eastAsia="Times New Roman" w:hAnsi="Times New Roman" w:cs="Times New Roman"/>
          <w:sz w:val="26"/>
        </w:rPr>
        <w:tab/>
      </w:r>
      <w:r>
        <w:rPr>
          <w:rFonts w:ascii="Times New Roman" w:eastAsia="Times New Roman" w:hAnsi="Times New Roman" w:cs="Times New Roman"/>
          <w:sz w:val="26"/>
        </w:rPr>
        <w:t xml:space="preserve">- ввод (приобретение) 1377 кв. м жилья для граждан, проживающих в сельской местности.</w:t>
      </w:r>
    </w:p>
    <w:p>
      <w:pPr>
        <w:jc w:val="both"/>
        <w:textAlignment w:val="auto"/>
        <w:ind w:left="0" w:right="0" w:start="0" w:end="0"/>
        <w:adjustRightInd w:val="true"/>
        <w:spacing w:after="0" w:line="240"/>
        <w:bidi w:val="false"/>
        <w:tabs>
          <w:tab w:val="left" w:pos="0"/>
        </w:tabs>
        <w:rPr>
          <w:rFonts w:ascii="Times New Roman" w:eastAsia="Times New Roman" w:hAnsi="Times New Roman" w:cs="Times New Roman"/>
          <w:sz w:val="26"/>
        </w:rPr>
      </w:pPr>
      <w:r>
        <w:rPr>
          <w:rFonts w:ascii="Times New Roman" w:eastAsia="Times New Roman" w:hAnsi="Times New Roman" w:cs="Times New Roman"/>
          <w:sz w:val="26"/>
        </w:rPr>
        <w:tab/>
      </w:r>
      <w:r>
        <w:rPr>
          <w:rFonts w:ascii="Times New Roman" w:eastAsia="Times New Roman" w:hAnsi="Times New Roman" w:cs="Times New Roman"/>
          <w:sz w:val="26"/>
        </w:rPr>
        <w:t xml:space="preserve">Экономическая эффективность реализации мероприятий Программы состоит в увеличении производительности сельскохозяйственного труда на основе:</w:t>
      </w:r>
    </w:p>
    <w:p>
      <w:pPr>
        <w:jc w:val="both"/>
        <w:textAlignment w:val="auto"/>
        <w:ind w:left="0" w:right="0" w:start="0" w:end="0"/>
        <w:adjustRightInd w:val="true"/>
        <w:spacing w:after="0" w:line="240"/>
        <w:bidi w:val="false"/>
        <w:tabs>
          <w:tab w:val="left" w:pos="0"/>
        </w:tabs>
        <w:rPr>
          <w:rFonts w:ascii="Times New Roman" w:eastAsia="Times New Roman" w:hAnsi="Times New Roman" w:cs="Times New Roman"/>
          <w:sz w:val="26"/>
        </w:rPr>
      </w:pPr>
      <w:r>
        <w:rPr>
          <w:rFonts w:ascii="Times New Roman" w:eastAsia="Times New Roman" w:hAnsi="Times New Roman" w:cs="Times New Roman"/>
          <w:sz w:val="26"/>
        </w:rPr>
        <w:t xml:space="preserve">- повышения общеобразовательной подготовки сельских жителей, создания в сельской местности благоприятных жилищных условий;</w:t>
      </w:r>
    </w:p>
    <w:p>
      <w:pPr>
        <w:jc w:val="both"/>
        <w:textAlignment w:val="auto"/>
        <w:ind w:left="0" w:right="0" w:start="0" w:end="0"/>
        <w:adjustRightInd w:val="true"/>
        <w:spacing w:after="0" w:line="240"/>
        <w:bidi w:val="false"/>
        <w:tabs>
          <w:tab w:val="left" w:pos="0"/>
        </w:tabs>
        <w:rPr>
          <w:rFonts w:ascii="Times New Roman" w:eastAsia="Times New Roman" w:hAnsi="Times New Roman" w:cs="Times New Roman"/>
          <w:sz w:val="26"/>
        </w:rPr>
      </w:pPr>
      <w:r>
        <w:rPr>
          <w:rFonts w:ascii="Times New Roman" w:eastAsia="Times New Roman" w:hAnsi="Times New Roman" w:cs="Times New Roman"/>
          <w:sz w:val="26"/>
        </w:rPr>
        <w:t xml:space="preserve">- обеспечения сельскохозяйственного производства высококвалифицированным кадровым потенциалом, способным к освоению высокоэффективных технологий.</w:t>
      </w:r>
    </w:p>
    <w:p>
      <w:pPr>
        <w:jc w:val="both"/>
        <w:textAlignment w:val="auto"/>
        <w:ind w:left="0" w:right="0" w:start="0" w:end="0"/>
        <w:adjustRightInd w:val="true"/>
        <w:spacing w:after="0" w:line="240"/>
        <w:bidi w:val="false"/>
        <w:tabs>
          <w:tab w:val="left" w:pos="0"/>
        </w:tabs>
        <w:rPr>
          <w:rFonts w:ascii="Times New Roman" w:eastAsia="Times New Roman" w:hAnsi="Times New Roman" w:cs="Times New Roman"/>
          <w:sz w:val="26"/>
        </w:rPr>
      </w:pPr>
      <w:r>
        <w:rPr>
          <w:rFonts w:ascii="Times New Roman" w:eastAsia="Times New Roman" w:hAnsi="Times New Roman" w:cs="Times New Roman"/>
          <w:sz w:val="26"/>
        </w:rPr>
        <w:t xml:space="preserve">Реализация мероприятий Программы будет иметь благоприятные экологические последствия.»</w:t>
      </w:r>
    </w:p>
    <w:p>
      <w:pPr>
        <w:jc w:val="both"/>
        <w:textAlignment w:val="auto"/>
        <w:ind w:firstLine="540"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1.8. Приложение к Программе изложить в новой редакции (Приложение № 1 к настоящему решению)</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2. Финансовому отделу администрации МР «Бабынинский район» предусмотреть финансовое обеспечение Программы за счет средств бюджета МР «Бабынинский район». Объемы финансовых средств программы подлежат ежегодному уточнению при утверждении бюджета муниципального района «Бабынинский район» на очередной финансовый год.</w:t>
      </w:r>
    </w:p>
    <w:p>
      <w:pPr>
        <w:jc w:val="both"/>
        <w:textAlignment w:val="auto"/>
        <w:ind w:left="0" w:right="0" w:start="0" w:end="0"/>
        <w:adjustRightInd w:val="true"/>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 3. Настоящее решение вступает в силу со дня его официального опубликования и распространяется на правоотношения, возникшие с 01.01.2018 года.</w:t>
      </w:r>
    </w:p>
    <w:p>
      <w:pPr>
        <w:jc w:val="both"/>
        <w:textAlignment w:val="auto"/>
        <w:ind w:left="0" w:right="0" w:start="0" w:end="0"/>
        <w:adjustRightInd w:val="true"/>
        <w:spacing w:after="0" w:line="240"/>
        <w:bidi w:val="false"/>
        <w:rPr>
          <w:rFonts w:ascii="Times New Roman" w:eastAsia="Times New Roman" w:hAnsi="Times New Roman" w:cs="Times New Roman"/>
          <w:sz w:val="26"/>
        </w:rPr>
      </w:pPr>
    </w:p>
    <w:p>
      <w:pPr>
        <w:jc w:val="center"/>
        <w:textAlignment w:val="auto"/>
        <w:ind w:firstLine="708" w:left="0" w:right="0" w:start="0" w:end="0"/>
        <w:adjustRightInd w:val="true"/>
        <w:spacing w:after="0" w:line="240"/>
        <w:bidi w:val="false"/>
        <w:rPr>
          <w:b w:val="true"/>
          <w:rFonts w:ascii="Times New Roman" w:eastAsia="Times New Roman" w:hAnsi="Times New Roman" w:cs="Times New Roman"/>
          <w:sz w:val="26"/>
        </w:rPr>
      </w:pPr>
    </w:p>
    <w:p>
      <w:pPr>
        <w:jc w:val="center"/>
        <w:textAlignment w:val="auto"/>
        <w:ind w:firstLine="708" w:left="0" w:right="0" w:start="0" w:end="0"/>
        <w:adjustRightInd w:val="true"/>
        <w:spacing w:after="0" w:line="240"/>
        <w:bidi w:val="false"/>
        <w:rPr>
          <w:b w:val="true"/>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4"/>
        </w:rPr>
      </w:pPr>
      <w:r>
        <w:rPr>
          <w:b w:val="true"/>
          <w:rFonts w:ascii="Times New Roman" w:eastAsia="Times New Roman" w:hAnsi="Times New Roman" w:cs="Times New Roman"/>
          <w:sz w:val="26"/>
        </w:rPr>
        <w:t xml:space="preserve">Глава МР «Бабынинский район»                                                              А.И.Захаров   </w:t>
      </w: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sectPr>
          <w:cols w:num="1" w:space="708" w:equalWidth="true"/>
          <w:footnotePr>
            <w:pos w:val="pageBottom"/>
          </w:footnotePr>
          <w:lnNumType w:distance="0"/>
          <w:pgSz w:w="11906" w:h="16838"/>
          <w:pgMar w:left="1701" w:right="746" w:top="1134" w:bottom="1134" w:gutter="0" w:header="708" w:footer="708"/>
        </w:sectPr>
      </w:pPr>
    </w:p>
    <w:p>
      <w:pPr>
        <w:jc w:val="righ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 1 к решению Районного Собрания  МР «Бабынинский район»</w:t>
      </w:r>
    </w:p>
    <w:p>
      <w:pPr>
        <w:jc w:val="right"/>
        <w:textAlignment w:val="auto"/>
        <w:ind w:left="0" w:right="0" w:start="0" w:end="0"/>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 203 от 26.12.2018</w:t>
      </w:r>
    </w:p>
    <w:p>
      <w:pPr>
        <w:jc w:val="right"/>
        <w:textAlignment w:val="auto"/>
        <w:ind w:left="0" w:right="0" w:start="0" w:end="0"/>
        <w:spacing w:after="0" w:line="240"/>
        <w:bidi w:val="false"/>
        <w:rPr>
          <w:rFonts w:ascii="Times New Roman" w:eastAsia="Times New Roman" w:hAnsi="Times New Roman" w:cs="Times New Roman"/>
          <w:sz w:val="24"/>
        </w:rPr>
      </w:pPr>
    </w:p>
    <w:p>
      <w:pPr>
        <w:jc w:val="right"/>
        <w:textAlignment w:val="auto"/>
        <w:ind w:left="0" w:right="0" w:start="0" w:end="0"/>
        <w:spacing w:after="0" w:line="240"/>
        <w:bidi w:val="false"/>
        <w:rPr>
          <w:rFonts w:ascii="Times New Roman" w:eastAsia="Times New Roman" w:hAnsi="Times New Roman" w:cs="Times New Roman"/>
          <w:sz w:val="24"/>
        </w:rPr>
      </w:pP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Перечень программных мероприятий подпрограммы</w:t>
      </w: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«Устойчивое развитие сельских территорий в МР «Бабынинский район» Калужской области на 2014-2020 годы»</w:t>
      </w:r>
    </w:p>
    <w:p>
      <w:pPr>
        <w:jc w:val="center"/>
        <w:textAlignment w:val="auto"/>
        <w:ind w:firstLine="720" w:left="0" w:right="0" w:start="0" w:end="0"/>
        <w:spacing w:after="0" w:line="240"/>
        <w:bidi w:val="false"/>
        <w:rPr>
          <w:rFonts w:ascii="Times New Roman" w:eastAsia="Times New Roman" w:hAnsi="Times New Roman" w:cs="Times New Roman"/>
          <w:sz w:val="20"/>
        </w:rPr>
      </w:pPr>
    </w:p>
    <w:tbl>
      <w:tblPr>
        <w:tblLayout w:type="fixed"/>
        <w:tblInd w:w="75" w:type="dxa"/>
        <w:tblW w:w="14175" w:type="dxa"/>
        <w:tblCellMar>
          <w:bottom w:w="75" w:type="dxa"/>
          <w:left w:w="75" w:type="dxa"/>
          <w:right w:w="75" w:type="dxa"/>
          <w:top w:w="75" w:type="dxa"/>
        </w:tblCellMar>
        <w:tblBorders>
          <w:left w:sz="0" w:space="0" w:val="nil"/>
          <w:right w:sz="0" w:space="0" w:val="nil"/>
          <w:top w:sz="0" w:space="0" w:val="nil"/>
          <w:bottom w:sz="0" w:space="0" w:val="nil"/>
          <w:insideV w:sz="0" w:space="0" w:val="nil"/>
          <w:insideH w:sz="0" w:space="0" w:val="nil"/>
        </w:tblBorders>
      </w:tblPr>
      <w:tblGrid>
        <w:gridCol w:w="2410"/>
        <w:gridCol w:w="1276"/>
        <w:gridCol w:w="1701"/>
        <w:gridCol w:w="1559"/>
        <w:gridCol w:w="992"/>
        <w:gridCol w:w="851"/>
        <w:gridCol w:w="850"/>
        <w:gridCol w:w="851"/>
        <w:gridCol w:w="709"/>
        <w:gridCol w:w="850"/>
        <w:gridCol w:w="709"/>
        <w:gridCol w:w="1417"/>
      </w:tblGrid>
      <w:tr>
        <w:trPr>
          <w:trHeight w:val="320" w:hRule="atLeast"/>
        </w:trPr>
        <w:tc>
          <w:tcPr>
            <w:vMerge w:val="restart"/>
            <w:tcW w:type="dxa" w:w="2410"/>
            <w:tcBorders>
              <w:left w:sz="8" w:val="single"/>
              <w:top w:sz="8" w:val="single"/>
              <w:right w:sz="8" w:val="single"/>
              <w:bottom w:sz="8" w:val="single"/>
            </w:tcBorders>
            <w:shd w:val="nil"/>
            <w:vAlign w:val="top"/>
            <w:textDirection w:val="lrTb"/>
            <w:gridSpan w:val="1"/>
          </w:tcPr>
          <w:p>
            <w:pPr>
              <w:jc w:val="both"/>
              <w:textAlignment w:val="auto"/>
              <w:ind w:firstLine="720" w:left="0" w:right="0" w:start="0" w:end="0"/>
              <w:spacing w:after="0" w:line="240"/>
              <w:bidi w:val="false"/>
              <w:rPr>
                <w:rFonts w:ascii="Times New Roman" w:eastAsia="Times New Roman" w:hAnsi="Times New Roman" w:cs="Times New Roman"/>
                <w:sz w:val="20"/>
              </w:rPr>
            </w:pPr>
          </w:p>
        </w:tc>
        <w:tc>
          <w:tcPr>
            <w:vMerge w:val="restart"/>
            <w:tcW w:type="dxa" w:w="1276"/>
            <w:tcBorders>
              <w:left w:sz="8" w:val="single"/>
              <w:top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Сроки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Реализации </w:t>
            </w:r>
          </w:p>
          <w:p>
            <w:pPr>
              <w:jc w:val="left"/>
              <w:textAlignment w:val="auto"/>
              <w:ind w:left="0" w:right="0" w:start="0" w:end="0"/>
              <w:spacing w:after="0" w:line="240"/>
              <w:bidi w:val="false"/>
              <w:rPr>
                <w:rFonts w:ascii="Times New Roman" w:eastAsia="Times New Roman" w:hAnsi="Times New Roman" w:cs="Times New Roman"/>
                <w:sz w:val="20"/>
              </w:rPr>
            </w:pPr>
          </w:p>
        </w:tc>
        <w:tc>
          <w:tcPr>
            <w:vMerge w:val="restart"/>
            <w:tcW w:type="dxa" w:w="1701"/>
            <w:tcBorders>
              <w:left w:sz="8" w:val="single"/>
              <w:top w:sz="8" w:val="single"/>
              <w:right w:sz="8" w:val="single"/>
            </w:tcBorders>
            <w:shd w:val="nil"/>
            <w:vAlign w:val="top"/>
            <w:textDirection w:val="lrTb"/>
            <w:gridSpan w:val="1"/>
          </w:tcPr>
          <w:p>
            <w:pPr>
              <w:jc w:val="both"/>
              <w:textAlignment w:val="auto"/>
              <w:ind w:left="0" w:right="0" w:start="0" w:end="0"/>
              <w:spacing w:after="0" w:line="240"/>
              <w:bidi w:val="false"/>
              <w:tabs>
                <w:tab w:val="left" w:pos="6795"/>
              </w:tabs>
              <w:rPr>
                <w:rFonts w:ascii="Times New Roman" w:eastAsia="Times New Roman" w:hAnsi="Times New Roman" w:cs="Times New Roman"/>
                <w:sz w:val="20"/>
              </w:rPr>
            </w:pPr>
            <w:r>
              <w:rPr>
                <w:rFonts w:ascii="Times New Roman" w:eastAsia="Times New Roman" w:hAnsi="Times New Roman" w:cs="Times New Roman"/>
                <w:sz w:val="20"/>
              </w:rPr>
              <w:t xml:space="preserve">Источ-</w:t>
            </w:r>
          </w:p>
          <w:p>
            <w:pPr>
              <w:jc w:val="both"/>
              <w:textAlignment w:val="auto"/>
              <w:ind w:left="0" w:right="0" w:start="0" w:end="0"/>
              <w:spacing w:after="0" w:line="240"/>
              <w:bidi w:val="false"/>
              <w:tabs>
                <w:tab w:val="left" w:pos="6795"/>
              </w:tabs>
              <w:rPr>
                <w:rFonts w:ascii="Times New Roman" w:eastAsia="Times New Roman" w:hAnsi="Times New Roman" w:cs="Times New Roman"/>
                <w:sz w:val="20"/>
              </w:rPr>
            </w:pPr>
            <w:r>
              <w:rPr>
                <w:rFonts w:ascii="Times New Roman" w:eastAsia="Times New Roman" w:hAnsi="Times New Roman" w:cs="Times New Roman"/>
                <w:sz w:val="20"/>
              </w:rPr>
              <w:t xml:space="preserve">ники</w:t>
            </w:r>
          </w:p>
          <w:p>
            <w:pPr>
              <w:jc w:val="both"/>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финансирования</w:t>
            </w:r>
          </w:p>
        </w:tc>
        <w:tc>
          <w:tcPr>
            <w:vMerge w:val="restart"/>
            <w:tcW w:type="dxa" w:w="1559"/>
            <w:tcBorders>
              <w:left w:sz="8" w:val="single"/>
              <w:top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Ответственные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за реализацию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мероприятия  </w:t>
            </w:r>
          </w:p>
        </w:tc>
        <w:tc>
          <w:tcPr>
            <w:vMerge w:val="restart"/>
            <w:tcW w:type="dxa" w:w="992"/>
            <w:tcBorders>
              <w:left w:sz="8" w:val="single"/>
              <w:top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Сумма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расходов</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(тыс.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руб.)  </w:t>
            </w:r>
          </w:p>
        </w:tc>
        <w:tc>
          <w:tcPr>
            <w:tcW w:type="dxa" w:w="6237"/>
            <w:tcBorders>
              <w:left w:sz="8" w:val="single"/>
              <w:top w:sz="8" w:val="single"/>
              <w:right w:sz="8" w:val="single"/>
              <w:bottom w:sz="8" w:val="single"/>
            </w:tcBorders>
            <w:shd w:val="nil"/>
            <w:vAlign w:val="top"/>
            <w:textDirection w:val="lrTb"/>
            <w:gridSpan w:val="7"/>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В том числе по годам      </w:t>
            </w:r>
          </w:p>
          <w:p>
            <w:pPr>
              <w:jc w:val="left"/>
              <w:textAlignment w:val="auto"/>
              <w:ind w:left="0" w:right="0" w:start="0" w:end="0"/>
              <w:spacing w:after="0" w:line="240"/>
              <w:bidi w:val="false"/>
              <w:rPr>
                <w:rFonts w:ascii="Times New Roman" w:eastAsia="Times New Roman" w:hAnsi="Times New Roman" w:cs="Times New Roman"/>
                <w:sz w:val="20"/>
              </w:rPr>
            </w:pPr>
          </w:p>
        </w:tc>
      </w:tr>
      <w:tr>
        <w:trPr>
          <w:trHeight w:val="320" w:hRule="atLeast"/>
        </w:trPr>
        <w:tc>
          <w:tcPr>
            <w:vMerge w:val="continue"/>
            <w:tcW w:type="dxa" w:w="2410"/>
            <w:tcBorders>
              <w:left w:sz="8" w:val="single"/>
              <w:right w:sz="8" w:val="single"/>
              <w:bottom w:sz="8" w:val="single"/>
            </w:tcBorders>
            <w:shd w:val="nil"/>
            <w:vAlign w:val="top"/>
            <w:textDirection w:val="lrTb"/>
            <w:gridSpan w:val="1"/>
          </w:tcPr>
          <w:p>
            <w:pPr>
              <w:jc w:val="both"/>
              <w:textAlignment w:val="auto"/>
              <w:ind w:firstLine="720" w:left="0" w:right="0" w:start="0" w:end="0"/>
              <w:spacing w:after="0" w:line="240"/>
              <w:bidi w:val="false"/>
              <w:rPr>
                <w:rFonts w:ascii="Times New Roman" w:eastAsia="Times New Roman" w:hAnsi="Times New Roman" w:cs="Times New Roman"/>
                <w:sz w:val="20"/>
              </w:rPr>
            </w:pPr>
          </w:p>
        </w:tc>
        <w:tc>
          <w:tcPr>
            <w:vMerge w:val="continue"/>
            <w:tcW w:type="dxa" w:w="1276"/>
            <w:tcBorders>
              <w:left w:sz="8" w:val="single"/>
              <w:right w:sz="8" w:val="single"/>
              <w:bottom w:sz="8" w:val="single"/>
            </w:tcBorders>
            <w:shd w:val="nil"/>
            <w:vAlign w:val="top"/>
            <w:textDirection w:val="lrTb"/>
            <w:gridSpan w:val="1"/>
          </w:tcPr>
          <w:p>
            <w:pPr>
              <w:jc w:val="both"/>
              <w:textAlignment w:val="auto"/>
              <w:ind w:firstLine="720" w:left="0" w:right="0" w:start="0" w:end="0"/>
              <w:spacing w:after="0" w:line="240"/>
              <w:bidi w:val="false"/>
              <w:rPr>
                <w:rFonts w:ascii="Times New Roman" w:eastAsia="Times New Roman" w:hAnsi="Times New Roman" w:cs="Times New Roman"/>
                <w:sz w:val="20"/>
              </w:rPr>
            </w:pPr>
          </w:p>
        </w:tc>
        <w:tc>
          <w:tcPr>
            <w:vMerge w:val="continue"/>
            <w:tcW w:type="dxa" w:w="1701"/>
            <w:tcBorders>
              <w:left w:sz="8" w:val="single"/>
              <w:right w:sz="8" w:val="single"/>
              <w:bottom w:sz="8" w:val="single"/>
            </w:tcBorders>
            <w:shd w:val="nil"/>
            <w:vAlign w:val="top"/>
            <w:textDirection w:val="lrTb"/>
            <w:gridSpan w:val="1"/>
          </w:tcPr>
          <w:p>
            <w:pPr>
              <w:jc w:val="both"/>
              <w:textAlignment w:val="auto"/>
              <w:ind w:firstLine="720" w:left="0" w:right="0" w:start="0" w:end="0"/>
              <w:spacing w:after="0" w:line="240"/>
              <w:bidi w:val="false"/>
              <w:rPr>
                <w:rFonts w:ascii="Times New Roman" w:eastAsia="Times New Roman" w:hAnsi="Times New Roman" w:cs="Times New Roman"/>
                <w:sz w:val="20"/>
              </w:rPr>
            </w:pPr>
          </w:p>
        </w:tc>
        <w:tc>
          <w:tcPr>
            <w:vMerge w:val="continue"/>
            <w:tcW w:type="dxa" w:w="1559"/>
            <w:tcBorders>
              <w:left w:sz="8" w:val="single"/>
              <w:right w:sz="8" w:val="single"/>
              <w:bottom w:sz="8" w:val="single"/>
            </w:tcBorders>
            <w:shd w:val="nil"/>
            <w:vAlign w:val="top"/>
            <w:textDirection w:val="lrTb"/>
            <w:gridSpan w:val="1"/>
          </w:tcPr>
          <w:p>
            <w:pPr>
              <w:jc w:val="both"/>
              <w:textAlignment w:val="auto"/>
              <w:ind w:firstLine="720" w:left="0" w:right="0" w:start="0" w:end="0"/>
              <w:spacing w:after="0" w:line="240"/>
              <w:bidi w:val="false"/>
              <w:rPr>
                <w:rFonts w:ascii="Times New Roman" w:eastAsia="Times New Roman" w:hAnsi="Times New Roman" w:cs="Times New Roman"/>
                <w:sz w:val="20"/>
              </w:rPr>
            </w:pPr>
          </w:p>
        </w:tc>
        <w:tc>
          <w:tcPr>
            <w:vMerge w:val="continue"/>
            <w:tcW w:type="dxa" w:w="992"/>
            <w:tcBorders>
              <w:left w:sz="8" w:val="single"/>
              <w:right w:sz="8" w:val="single"/>
              <w:bottom w:sz="8" w:val="single"/>
            </w:tcBorders>
            <w:shd w:val="nil"/>
            <w:vAlign w:val="top"/>
            <w:textDirection w:val="lrTb"/>
            <w:gridSpan w:val="1"/>
          </w:tcPr>
          <w:p>
            <w:pPr>
              <w:jc w:val="both"/>
              <w:textAlignment w:val="auto"/>
              <w:ind w:firstLine="720" w:left="0" w:right="0" w:start="0" w:end="0"/>
              <w:spacing w:after="0" w:line="240"/>
              <w:bidi w:val="false"/>
              <w:rPr>
                <w:rFonts w:ascii="Times New Roman" w:eastAsia="Times New Roman" w:hAnsi="Times New Roman" w:cs="Times New Roman"/>
                <w:sz w:val="20"/>
              </w:rPr>
            </w:pPr>
          </w:p>
        </w:tc>
        <w:tc>
          <w:tcPr>
            <w:tcW w:type="dxa" w:w="851"/>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2014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год  </w:t>
            </w:r>
          </w:p>
        </w:tc>
        <w:tc>
          <w:tcPr>
            <w:tcW w:type="dxa" w:w="850"/>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2015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год  </w:t>
            </w:r>
          </w:p>
        </w:tc>
        <w:tc>
          <w:tcPr>
            <w:tcW w:type="dxa" w:w="851"/>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2016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год  </w:t>
            </w:r>
          </w:p>
        </w:tc>
        <w:tc>
          <w:tcPr>
            <w:tcW w:type="dxa" w:w="709"/>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2017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год  </w:t>
            </w:r>
          </w:p>
        </w:tc>
        <w:tc>
          <w:tcPr>
            <w:tcW w:type="dxa" w:w="850"/>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2018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год  </w:t>
            </w:r>
          </w:p>
        </w:tc>
        <w:tc>
          <w:tcPr>
            <w:tcW w:type="dxa" w:w="709"/>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2019 год</w:t>
            </w:r>
          </w:p>
        </w:tc>
        <w:tc>
          <w:tcPr>
            <w:tcW w:type="dxa" w:w="1417"/>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2020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год  </w:t>
            </w:r>
          </w:p>
        </w:tc>
      </w:tr>
      <w:tr>
        <w:trPr>
          <w:trHeight w:val="1595" w:hRule="atLeast"/>
        </w:trPr>
        <w:tc>
          <w:tcPr>
            <w:tcW w:type="dxa" w:w="2410"/>
            <w:tcBorders>
              <w:left w:sz="4" w:val="single"/>
              <w:top w:sz="4" w:val="single"/>
              <w:right w:sz="4" w:val="single"/>
              <w:bottom w:sz="4"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Улучшение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жилищных условий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граждан, проживающих</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в сельской местности</w:t>
            </w:r>
            <w:r>
              <w:rPr>
                <w:rFonts w:ascii="Times New Roman" w:eastAsia="Times New Roman" w:hAnsi="Times New Roman" w:cs="Times New Roman"/>
                <w:sz w:val="22"/>
                <w:color w:val="000000"/>
              </w:rPr>
              <w:t xml:space="preserve">, </w:t>
            </w:r>
            <w:r>
              <w:rPr>
                <w:rFonts w:ascii="Times New Roman" w:eastAsia="Times New Roman" w:hAnsi="Times New Roman" w:cs="Times New Roman"/>
                <w:sz w:val="20"/>
                <w:color w:val="000000"/>
              </w:rPr>
              <w:t xml:space="preserve">в том числе для молодых семей и молодых специалистов</w:t>
            </w:r>
          </w:p>
        </w:tc>
        <w:tc>
          <w:tcPr>
            <w:tcW w:type="dxa" w:w="1276"/>
            <w:tcBorders>
              <w:left w:sz="4"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2014-2020 </w:t>
            </w:r>
          </w:p>
        </w:tc>
        <w:tc>
          <w:tcPr>
            <w:tcW w:type="dxa" w:w="1701"/>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Местный бюджет    </w:t>
            </w:r>
          </w:p>
        </w:tc>
        <w:tc>
          <w:tcPr>
            <w:tcW w:type="dxa" w:w="1559"/>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Отдел сельского хозяйства) </w:t>
            </w:r>
          </w:p>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администрации МР «Бабынинский район»</w:t>
            </w:r>
          </w:p>
        </w:tc>
        <w:tc>
          <w:tcPr>
            <w:tcW w:type="dxa" w:w="992"/>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3097,605</w:t>
            </w:r>
          </w:p>
        </w:tc>
        <w:tc>
          <w:tcPr>
            <w:tcW w:type="dxa" w:w="851"/>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712,399</w:t>
            </w:r>
          </w:p>
        </w:tc>
        <w:tc>
          <w:tcPr>
            <w:tcW w:type="dxa" w:w="850"/>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617,400</w:t>
            </w:r>
          </w:p>
        </w:tc>
        <w:tc>
          <w:tcPr>
            <w:tcW w:type="dxa" w:w="851"/>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255,780</w:t>
            </w:r>
          </w:p>
        </w:tc>
        <w:tc>
          <w:tcPr>
            <w:tcW w:type="dxa" w:w="709"/>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464,880</w:t>
            </w:r>
          </w:p>
        </w:tc>
        <w:tc>
          <w:tcPr>
            <w:tcW w:type="dxa" w:w="850"/>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243,810</w:t>
            </w:r>
          </w:p>
        </w:tc>
        <w:tc>
          <w:tcPr>
            <w:tcW w:type="dxa" w:w="709"/>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 400</w:t>
            </w:r>
          </w:p>
        </w:tc>
        <w:tc>
          <w:tcPr>
            <w:tcW w:type="dxa" w:w="1417"/>
            <w:tcBorders>
              <w:left w:sz="8" w:val="single"/>
              <w:right w:sz="8" w:val="single"/>
              <w:bottom w:sz="8" w:val="single"/>
            </w:tcBorders>
            <w:shd w:val="nil"/>
            <w:vAlign w:val="top"/>
            <w:textDirection w:val="lrTb"/>
            <w:gridSpan w:val="1"/>
          </w:tcPr>
          <w:p>
            <w:pPr>
              <w:jc w:val="left"/>
              <w:textAlignment w:val="auto"/>
              <w:ind w:left="0" w:right="0" w:start="0" w:end="0"/>
              <w:spacing w:after="0" w:line="240"/>
              <w:bidi w:val="false"/>
              <w:rPr>
                <w:rFonts w:ascii="Times New Roman" w:eastAsia="Times New Roman" w:hAnsi="Times New Roman" w:cs="Times New Roman"/>
                <w:sz w:val="20"/>
              </w:rPr>
            </w:pPr>
            <w:r>
              <w:rPr>
                <w:rFonts w:ascii="Times New Roman" w:eastAsia="Times New Roman" w:hAnsi="Times New Roman" w:cs="Times New Roman"/>
                <w:sz w:val="20"/>
              </w:rPr>
              <w:t xml:space="preserve">403,336</w:t>
            </w:r>
          </w:p>
        </w:tc>
      </w:tr>
    </w:tbl>
    <w:p>
      <w:pPr>
        <w:jc w:val="left"/>
        <w:textAlignment w:val="auto"/>
        <w:ind w:left="0" w:right="0" w:start="0" w:end="0"/>
        <w:spacing w:after="0" w:line="240"/>
        <w:bidi w:val="false"/>
        <w:rPr>
          <w:rFonts w:ascii="Times New Roman" w:eastAsia="Times New Roman" w:hAnsi="Times New Roman" w:cs="Times New Roman"/>
          <w:sz w:val="24"/>
        </w:rPr>
        <w:sectPr>
          <w:cols w:num="1" w:space="708" w:equalWidth="true"/>
          <w:footnotePr>
            <w:pos w:val="pageBottom"/>
          </w:footnotePr>
          <w:lnNumType w:distance="0"/>
          <w:pgSz w:w="16838" w:h="11906" w:orient="landscape"/>
          <w:pgMar w:left="1134" w:right="1134" w:top="1701" w:bottom="748" w:gutter="0" w:header="709" w:footer="709"/>
        </w:sectPr>
      </w:pPr>
    </w:p>
    <w:p>
      <w:pPr>
        <w:jc w:val="left"/>
        <w:textAlignment w:val="auto"/>
        <w:ind w:left="0" w:right="0" w:start="0" w:end="0"/>
        <w:spacing w:after="0" w:line="240"/>
        <w:bidi w:val="false"/>
        <w:rPr>
          <w:rFonts w:ascii="Times New Roman" w:eastAsia="Times New Roman" w:hAnsi="Times New Roman" w:cs="Times New Roman"/>
          <w:sz w:val="26"/>
        </w:rPr>
      </w:pPr>
    </w:p>
    <w:p>
      <w:pPr>
        <w:jc w:val="left"/>
        <w:textAlignment w:val="auto"/>
        <w:ind w:left="0" w:right="0" w:start="0" w:end="0"/>
        <w:spacing w:after="0" w:line="240"/>
        <w:bidi w:val="false"/>
        <w:rPr>
          <w:rFonts w:ascii="Times New Roman" w:eastAsia="Times New Roman" w:hAnsi="Times New Roman" w:cs="Times New Roman"/>
          <w:sz w:val="24"/>
        </w:rPr>
      </w:pPr>
    </w:p>
    <w:sectPr>
      <w:cols w:num="1" w:space="708" w:equalWidth="true"/>
      <w:footnotePr>
        <w:pos w:val="pageBottom"/>
      </w:footnotePr>
      <w:lnNumType w:distance="0"/>
      <w:pgSz w:w="11906" w:h="16838"/>
      <w:pgMar w:left="1701" w:right="746" w:top="1134" w:bottom="1134" w:gutter="0" w:header="708" w:footer="708"/>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Courier New">
    <w:panose1 w:val="02070309020205020404"/>
    <w:family w:val="modern"/>
    <w:charset w:val="CC"/>
    <w:pitch w:val="fixed"/>
  </w:font>
  <w:font w:name="Courier New">
    <w:panose1 w:val="02070309020205020404"/>
    <w:family w:val="modern"/>
    <w:charset w:val="CC"/>
    <w:pitch w:val="fixed"/>
  </w:font>
  <w:font w:name="Calibri">
    <w:panose1 w:val="020f0502020204030204"/>
    <w:family w:val="swiss"/>
    <w:charset w:val="CC"/>
    <w:pitch w:val="variable"/>
  </w:font>
  <w:font w:name="Tahoma">
    <w:panose1 w:val="020b0604030504040204"/>
    <w:family w:val="swiss"/>
    <w:charset w:val="CC"/>
    <w:pitch w:val="variable"/>
  </w:font>
  <w:font w:name="Times New Roman CYR">
    <w:panose1 w:val="02020603050405020304"/>
    <w:family w:val="roman"/>
    <w:charset w:val="CC"/>
    <w:pitch w:val="variable"/>
  </w:font>
  <w:font w:name="Verdana">
    <w:panose1 w:val="020b0604030504040204"/>
    <w:family w:val="swiss"/>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ourier New">
    <w:family w:val="modern"/>
    <w:charset w:val="00"/>
    <w:pitch w:val="fixed"/>
  </w:font>
  <w:font w:name="Courier New CE">
    <w:family w:val="modern"/>
    <w:charset w:val="EE"/>
    <w:pitch w:val="fixed"/>
  </w:font>
  <w:font w:name="Courier New Greek">
    <w:family w:val="modern"/>
    <w:charset w:val="A1"/>
    <w:pitch w:val="fixed"/>
  </w:font>
  <w:font w:name="Courier New Tur">
    <w:family w:val="modern"/>
    <w:charset w:val="A2"/>
    <w:pitch w:val="fixed"/>
  </w:font>
  <w:font w:name="Courier New (Hebrew)">
    <w:family w:val="modern"/>
    <w:charset w:val="B1"/>
    <w:pitch w:val="fixed"/>
  </w:font>
  <w:font w:name="Courier New (Arabic)">
    <w:family w:val="modern"/>
    <w:charset w:val="B2"/>
    <w:pitch w:val="fixed"/>
  </w:font>
  <w:font w:name="Courier New Baltic">
    <w:family w:val="modern"/>
    <w:charset w:val="BA"/>
    <w:pitch w:val="fixed"/>
  </w:font>
  <w:font w:name="Courier New (Vietnamese)">
    <w:family w:val="modern"/>
    <w:charset w:val="A3"/>
    <w:pitch w:val="fixed"/>
  </w:font>
  <w:font w:name="Courier New">
    <w:family w:val="modern"/>
    <w:charset w:val="00"/>
    <w:pitch w:val="fixed"/>
  </w:font>
  <w:font w:name="Courier New CE">
    <w:family w:val="modern"/>
    <w:charset w:val="EE"/>
    <w:pitch w:val="fixed"/>
  </w:font>
  <w:font w:name="Courier New Greek">
    <w:family w:val="modern"/>
    <w:charset w:val="A1"/>
    <w:pitch w:val="fixed"/>
  </w:font>
  <w:font w:name="Courier New Tur">
    <w:family w:val="modern"/>
    <w:charset w:val="A2"/>
    <w:pitch w:val="fixed"/>
  </w:font>
  <w:font w:name="Courier New (Hebrew)">
    <w:family w:val="modern"/>
    <w:charset w:val="B1"/>
    <w:pitch w:val="fixed"/>
  </w:font>
  <w:font w:name="Courier New (Arabic)">
    <w:family w:val="modern"/>
    <w:charset w:val="B2"/>
    <w:pitch w:val="fixed"/>
  </w:font>
  <w:font w:name="Courier New Baltic">
    <w:family w:val="modern"/>
    <w:charset w:val="BA"/>
    <w:pitch w:val="fixed"/>
  </w:font>
  <w:font w:name="Courier New (Vietnamese)">
    <w:family w:val="modern"/>
    <w:charset w:val="A3"/>
    <w:pitch w:val="fixed"/>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Hebrew)">
    <w:family w:val="swiss"/>
    <w:charset w:val="B1"/>
    <w:pitch w:val="variable"/>
  </w:font>
  <w:font w:name="Calibri (Arabic)">
    <w:family w:val="swiss"/>
    <w:charset w:val="B2"/>
    <w:pitch w:val="variable"/>
  </w:font>
  <w:font w:name="Calibri Baltic">
    <w:family w:val="swiss"/>
    <w:charset w:val="BA"/>
    <w:pitch w:val="variable"/>
  </w:font>
  <w:font w:name="Calibri (Vietnamese)">
    <w:family w:val="swiss"/>
    <w:charset w:val="A3"/>
    <w:pitch w:val="variable"/>
  </w:font>
  <w:font w:name="Tahoma">
    <w:family w:val="swiss"/>
    <w:charset w:val="00"/>
    <w:pitch w:val="variable"/>
  </w:font>
  <w:font w:name="Tahoma CE">
    <w:family w:val="swiss"/>
    <w:charset w:val="EE"/>
    <w:pitch w:val="variable"/>
  </w:font>
  <w:font w:name="Tahoma Greek">
    <w:family w:val="swiss"/>
    <w:charset w:val="A1"/>
    <w:pitch w:val="variable"/>
  </w:font>
  <w:font w:name="Tahoma Tur">
    <w:family w:val="swiss"/>
    <w:charset w:val="A2"/>
    <w:pitch w:val="variable"/>
  </w:font>
  <w:font w:name="Tahoma (Hebrew)">
    <w:family w:val="swiss"/>
    <w:charset w:val="B1"/>
    <w:pitch w:val="variable"/>
  </w:font>
  <w:font w:name="Tahoma (Arabic)">
    <w:family w:val="swiss"/>
    <w:charset w:val="B2"/>
    <w:pitch w:val="variable"/>
  </w:font>
  <w:font w:name="Tahoma Baltic">
    <w:family w:val="swiss"/>
    <w:charset w:val="BA"/>
    <w:pitch w:val="variable"/>
  </w:font>
  <w:font w:name="Tahoma (Vietnamese)">
    <w:family w:val="swiss"/>
    <w:charset w:val="A3"/>
    <w:pitch w:val="variable"/>
  </w:font>
  <w:font w:name="Tahoma (Thai)">
    <w:family w:val="swiss"/>
    <w:charset w:val="DE"/>
    <w:pitch w:val="variable"/>
  </w:font>
  <w:font w:name="Times New Roman CYR">
    <w:family w:val="roman"/>
    <w:charset w:val="00"/>
    <w:pitch w:val="variable"/>
  </w:font>
  <w:font w:name="Times New Roman CYR CE">
    <w:family w:val="roman"/>
    <w:charset w:val="EE"/>
    <w:pitch w:val="variable"/>
  </w:font>
  <w:font w:name="Times New Roman CYR Greek">
    <w:family w:val="roman"/>
    <w:charset w:val="A1"/>
    <w:pitch w:val="variable"/>
  </w:font>
  <w:font w:name="Times New Roman CYR Tur">
    <w:family w:val="roman"/>
    <w:charset w:val="A2"/>
    <w:pitch w:val="variable"/>
  </w:font>
  <w:font w:name="Times New Roman CYR (Hebrew)">
    <w:family w:val="roman"/>
    <w:charset w:val="B1"/>
    <w:pitch w:val="variable"/>
  </w:font>
  <w:font w:name="Times New Roman CYR (Arabic)">
    <w:family w:val="roman"/>
    <w:charset w:val="B2"/>
    <w:pitch w:val="variable"/>
  </w:font>
  <w:font w:name="Times New Roman CYR Baltic">
    <w:family w:val="roman"/>
    <w:charset w:val="BA"/>
    <w:pitch w:val="variable"/>
  </w:font>
  <w:font w:name="Times New Roman CYR (Vietnamese)">
    <w:family w:val="roman"/>
    <w:charset w:val="A3"/>
    <w:pitch w:val="variable"/>
  </w:font>
  <w:font w:name="Verdana">
    <w:family w:val="swiss"/>
    <w:charset w:val="00"/>
    <w:pitch w:val="variable"/>
  </w:font>
  <w:font w:name="Verdana CE">
    <w:family w:val="swiss"/>
    <w:charset w:val="EE"/>
    <w:pitch w:val="variable"/>
  </w:font>
  <w:font w:name="Verdana Greek">
    <w:family w:val="swiss"/>
    <w:charset w:val="A1"/>
    <w:pitch w:val="variable"/>
  </w:font>
  <w:font w:name="Verdana Tur">
    <w:family w:val="swiss"/>
    <w:charset w:val="A2"/>
    <w:pitch w:val="variable"/>
  </w:font>
  <w:font w:name="Verdana Baltic">
    <w:family w:val="swiss"/>
    <w:charset w:val="BA"/>
    <w:pitch w:val="variable"/>
  </w:font>
  <w:font w:name="Verdana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Hebrew)">
    <w:family w:val="swiss"/>
    <w:charset w:val="B1"/>
    <w:pitch w:val="variable"/>
  </w:font>
  <w:font w:name="Calibri (Arabic)">
    <w:family w:val="swiss"/>
    <w:charset w:val="B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numbering.xml><?xml version="1.0" encoding="utf-8"?>
<w:numbering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w:abstractNum w:abstractNumId="132257881">
    <w:multiLevelType w:val="hybridMultilevel"/>
    <w:tmpl w:val="75c0d44e"/>
    <w:lvl w:ilvl="0">
      <w:lvlJc w:val="left"/>
      <w:lvlText w:val="%1."/>
      <w:numFmt w:val="decimal"/>
      <w:start w:val="1"/>
      <w:suff w:val="tab"/>
      <w:pPr>
        <w:ind w:hanging="960" w:left="1668" w:start="1668"/>
      </w:pPr>
      <w:rPr>
        <w:rFonts w:ascii="Times New Roman" w:eastAsia="Times New Roman" w:hAnsi="Times New Roman" w:cs="Times New Roman"/>
        <w:sz w:val="24"/>
      </w:rPr>
    </w:lvl>
    <w:lvl w:ilvl="1" w:tentative="1">
      <w:lvlJc w:val="left"/>
      <w:lvlText w:val="%2."/>
      <w:numFmt w:val="lowerLetter"/>
      <w:start w:val="1"/>
      <w:suff w:val="tab"/>
      <w:pPr>
        <w:ind w:hanging="360" w:left="1788" w:start="1788"/>
      </w:pPr>
      <w:rPr>
        <w:rFonts w:ascii="Times New Roman" w:eastAsia="Times New Roman" w:hAnsi="Times New Roman" w:cs="Times New Roman"/>
        <w:sz w:val="24"/>
      </w:rPr>
    </w:lvl>
    <w:lvl w:ilvl="2" w:tentative="1">
      <w:lvlJc w:val="right"/>
      <w:lvlText w:val="%3."/>
      <w:numFmt w:val="lowerRoman"/>
      <w:start w:val="1"/>
      <w:suff w:val="tab"/>
      <w:pPr>
        <w:ind w:hanging="180" w:left="2508" w:start="2508"/>
      </w:pPr>
      <w:rPr>
        <w:rFonts w:ascii="Times New Roman" w:eastAsia="Times New Roman" w:hAnsi="Times New Roman" w:cs="Times New Roman"/>
        <w:sz w:val="24"/>
      </w:rPr>
    </w:lvl>
    <w:lvl w:ilvl="3" w:tentative="1">
      <w:lvlJc w:val="left"/>
      <w:lvlText w:val="%4."/>
      <w:numFmt w:val="decimal"/>
      <w:start w:val="1"/>
      <w:suff w:val="tab"/>
      <w:pPr>
        <w:ind w:hanging="360" w:left="3228" w:start="3228"/>
      </w:pPr>
      <w:rPr>
        <w:rFonts w:ascii="Times New Roman" w:eastAsia="Times New Roman" w:hAnsi="Times New Roman" w:cs="Times New Roman"/>
        <w:sz w:val="24"/>
      </w:rPr>
    </w:lvl>
    <w:lvl w:ilvl="4" w:tentative="1">
      <w:lvlJc w:val="left"/>
      <w:lvlText w:val="%5."/>
      <w:numFmt w:val="lowerLetter"/>
      <w:start w:val="1"/>
      <w:suff w:val="tab"/>
      <w:pPr>
        <w:ind w:hanging="360" w:left="3948" w:start="3948"/>
      </w:pPr>
      <w:rPr>
        <w:rFonts w:ascii="Times New Roman" w:eastAsia="Times New Roman" w:hAnsi="Times New Roman" w:cs="Times New Roman"/>
        <w:sz w:val="24"/>
      </w:rPr>
    </w:lvl>
    <w:lvl w:ilvl="5" w:tentative="1">
      <w:lvlJc w:val="right"/>
      <w:lvlText w:val="%6."/>
      <w:numFmt w:val="lowerRoman"/>
      <w:start w:val="1"/>
      <w:suff w:val="tab"/>
      <w:pPr>
        <w:ind w:hanging="180" w:left="4668" w:start="4668"/>
      </w:pPr>
      <w:rPr>
        <w:rFonts w:ascii="Times New Roman" w:eastAsia="Times New Roman" w:hAnsi="Times New Roman" w:cs="Times New Roman"/>
        <w:sz w:val="24"/>
      </w:rPr>
    </w:lvl>
    <w:lvl w:ilvl="6" w:tentative="1">
      <w:lvlJc w:val="left"/>
      <w:lvlText w:val="%7."/>
      <w:numFmt w:val="decimal"/>
      <w:start w:val="1"/>
      <w:suff w:val="tab"/>
      <w:pPr>
        <w:ind w:hanging="360" w:left="5388" w:start="5388"/>
      </w:pPr>
      <w:rPr>
        <w:rFonts w:ascii="Times New Roman" w:eastAsia="Times New Roman" w:hAnsi="Times New Roman" w:cs="Times New Roman"/>
        <w:sz w:val="24"/>
      </w:rPr>
    </w:lvl>
    <w:lvl w:ilvl="7" w:tentative="1">
      <w:lvlJc w:val="left"/>
      <w:lvlText w:val="%8."/>
      <w:numFmt w:val="lowerLetter"/>
      <w:start w:val="1"/>
      <w:suff w:val="tab"/>
      <w:pPr>
        <w:ind w:hanging="360" w:left="6108" w:start="6108"/>
      </w:pPr>
      <w:rPr>
        <w:rFonts w:ascii="Times New Roman" w:eastAsia="Times New Roman" w:hAnsi="Times New Roman" w:cs="Times New Roman"/>
        <w:sz w:val="24"/>
      </w:rPr>
    </w:lvl>
    <w:lvl w:ilvl="8" w:tentative="1">
      <w:lvlJc w:val="right"/>
      <w:lvlText w:val="%9."/>
      <w:numFmt w:val="lowerRoman"/>
      <w:start w:val="1"/>
      <w:suff w:val="tab"/>
      <w:pPr>
        <w:ind w:hanging="180" w:left="6828" w:start="6828"/>
      </w:pPr>
      <w:rPr>
        <w:rFonts w:ascii="Times New Roman" w:eastAsia="Times New Roman" w:hAnsi="Times New Roman" w:cs="Times New Roman"/>
        <w:sz w:val="24"/>
      </w:rPr>
    </w:lvl>
  </w:abstractNum>
  <w:abstractNum w:abstractNumId="186219397">
    <w:multiLevelType w:val="multilevel"/>
    <w:tmpl w:val="d64a9280"/>
    <w:lvl w:ilvl="0">
      <w:lvlJc w:val="left"/>
      <w:lvlText w:val="%1."/>
      <w:numFmt w:val="decimal"/>
      <w:start w:val="1"/>
      <w:suff w:val="tab"/>
      <w:pPr>
        <w:ind w:hanging="390" w:left="390" w:start="390"/>
      </w:pPr>
      <w:rPr>
        <w:rFonts w:ascii="Times New Roman" w:eastAsia="Times New Roman" w:hAnsi="Times New Roman" w:cs="Times New Roman"/>
        <w:sz w:val="24"/>
      </w:rPr>
    </w:lvl>
    <w:lvl w:ilvl="1">
      <w:lvlJc w:val="left"/>
      <w:lvlText w:val="%1.%2."/>
      <w:numFmt w:val="decimal"/>
      <w:start w:val="5"/>
      <w:suff w:val="tab"/>
      <w:pPr>
        <w:ind w:hanging="720" w:left="1996" w:start="1996"/>
      </w:pPr>
      <w:rPr>
        <w:rFonts w:ascii="Times New Roman" w:eastAsia="Times New Roman" w:hAnsi="Times New Roman" w:cs="Times New Roman"/>
        <w:sz w:val="24"/>
      </w:rPr>
    </w:lvl>
    <w:lvl w:ilvl="2">
      <w:lvlJc w:val="left"/>
      <w:lvlText w:val="%1.%2.%3."/>
      <w:numFmt w:val="decimal"/>
      <w:start w:val="1"/>
      <w:suff w:val="tab"/>
      <w:pPr>
        <w:ind w:hanging="720" w:left="3272" w:start="3272"/>
      </w:pPr>
      <w:rPr>
        <w:rFonts w:ascii="Times New Roman" w:eastAsia="Times New Roman" w:hAnsi="Times New Roman" w:cs="Times New Roman"/>
        <w:sz w:val="24"/>
      </w:rPr>
    </w:lvl>
    <w:lvl w:ilvl="3">
      <w:lvlJc w:val="left"/>
      <w:lvlText w:val="%1.%2.%3.%4."/>
      <w:numFmt w:val="decimal"/>
      <w:start w:val="1"/>
      <w:suff w:val="tab"/>
      <w:pPr>
        <w:ind w:hanging="1080" w:left="4908" w:start="4908"/>
      </w:pPr>
      <w:rPr>
        <w:rFonts w:ascii="Times New Roman" w:eastAsia="Times New Roman" w:hAnsi="Times New Roman" w:cs="Times New Roman"/>
        <w:sz w:val="24"/>
      </w:rPr>
    </w:lvl>
    <w:lvl w:ilvl="4">
      <w:lvlJc w:val="left"/>
      <w:lvlText w:val="%1.%2.%3.%4.%5."/>
      <w:numFmt w:val="decimal"/>
      <w:start w:val="1"/>
      <w:suff w:val="tab"/>
      <w:pPr>
        <w:ind w:hanging="1080" w:left="6184" w:start="6184"/>
      </w:pPr>
      <w:rPr>
        <w:rFonts w:ascii="Times New Roman" w:eastAsia="Times New Roman" w:hAnsi="Times New Roman" w:cs="Times New Roman"/>
        <w:sz w:val="24"/>
      </w:rPr>
    </w:lvl>
    <w:lvl w:ilvl="5">
      <w:lvlJc w:val="left"/>
      <w:lvlText w:val="%1.%2.%3.%4.%5.%6."/>
      <w:numFmt w:val="decimal"/>
      <w:start w:val="1"/>
      <w:suff w:val="tab"/>
      <w:pPr>
        <w:ind w:hanging="1440" w:left="7820" w:start="7820"/>
      </w:pPr>
      <w:rPr>
        <w:rFonts w:ascii="Times New Roman" w:eastAsia="Times New Roman" w:hAnsi="Times New Roman" w:cs="Times New Roman"/>
        <w:sz w:val="24"/>
      </w:rPr>
    </w:lvl>
    <w:lvl w:ilvl="6">
      <w:lvlJc w:val="left"/>
      <w:lvlText w:val="%1.%2.%3.%4.%5.%6.%7."/>
      <w:numFmt w:val="decimal"/>
      <w:start w:val="1"/>
      <w:suff w:val="tab"/>
      <w:pPr>
        <w:ind w:hanging="1440" w:left="9096" w:start="9096"/>
      </w:pPr>
      <w:rPr>
        <w:rFonts w:ascii="Times New Roman" w:eastAsia="Times New Roman" w:hAnsi="Times New Roman" w:cs="Times New Roman"/>
        <w:sz w:val="24"/>
      </w:rPr>
    </w:lvl>
    <w:lvl w:ilvl="7">
      <w:lvlJc w:val="left"/>
      <w:lvlText w:val="%1.%2.%3.%4.%5.%6.%7.%8."/>
      <w:numFmt w:val="decimal"/>
      <w:start w:val="1"/>
      <w:suff w:val="tab"/>
      <w:pPr>
        <w:ind w:hanging="1800" w:left="10732" w:start="10732"/>
      </w:pPr>
      <w:rPr>
        <w:rFonts w:ascii="Times New Roman" w:eastAsia="Times New Roman" w:hAnsi="Times New Roman" w:cs="Times New Roman"/>
        <w:sz w:val="24"/>
      </w:rPr>
    </w:lvl>
    <w:lvl w:ilvl="8">
      <w:lvlJc w:val="left"/>
      <w:lvlText w:val="%1.%2.%3.%4.%5.%6.%7.%8.%9."/>
      <w:numFmt w:val="decimal"/>
      <w:start w:val="1"/>
      <w:suff w:val="tab"/>
      <w:pPr>
        <w:ind w:hanging="1800" w:left="12008" w:start="12008"/>
      </w:pPr>
      <w:rPr>
        <w:rFonts w:ascii="Times New Roman" w:eastAsia="Times New Roman" w:hAnsi="Times New Roman" w:cs="Times New Roman"/>
        <w:sz w:val="24"/>
      </w:rPr>
    </w:lvl>
  </w:abstractNum>
  <w:abstractNum w:abstractNumId="571426608">
    <w:multiLevelType w:val="multilevel"/>
    <w:tmpl w:val="bb4842ec"/>
    <w:lvl w:ilvl="0">
      <w:lvlJc w:val="left"/>
      <w:lvlText w:val="%1."/>
      <w:numFmt w:val="decimal"/>
      <w:start w:val="1"/>
      <w:suff w:val="tab"/>
      <w:pPr>
        <w:ind w:hanging="390" w:left="450" w:start="450"/>
      </w:pPr>
      <w:rPr>
        <w:rFonts w:ascii="Times New Roman" w:eastAsia="Times New Roman" w:hAnsi="Times New Roman" w:cs="Times New Roman"/>
        <w:sz w:val="24"/>
      </w:rPr>
    </w:lvl>
    <w:lvl w:ilvl="1">
      <w:lvlJc w:val="left"/>
      <w:lvlText w:val="%1.%2"/>
      <w:numFmt w:val="decimal"/>
      <w:start w:val="1"/>
      <w:suff w:val="tab"/>
      <w:pPr>
        <w:ind w:hanging="360" w:left="1635" w:start="1635"/>
      </w:pPr>
      <w:rPr>
        <w:rFonts w:ascii="Times New Roman" w:eastAsia="Times New Roman" w:hAnsi="Times New Roman" w:cs="Times New Roman"/>
        <w:sz w:val="24"/>
      </w:rPr>
    </w:lvl>
    <w:lvl w:ilvl="2">
      <w:lvlJc w:val="left"/>
      <w:lvlText w:val="%1.%2.%3"/>
      <w:numFmt w:val="decimal"/>
      <w:start w:val="1"/>
      <w:suff w:val="tab"/>
      <w:pPr>
        <w:ind w:hanging="720" w:left="3210" w:start="3210"/>
      </w:pPr>
      <w:rPr>
        <w:rFonts w:ascii="Times New Roman" w:eastAsia="Times New Roman" w:hAnsi="Times New Roman" w:cs="Times New Roman"/>
        <w:sz w:val="24"/>
      </w:rPr>
    </w:lvl>
    <w:lvl w:ilvl="3">
      <w:lvlJc w:val="left"/>
      <w:lvlText w:val="%1.%2.%3.%4"/>
      <w:numFmt w:val="decimal"/>
      <w:start w:val="1"/>
      <w:suff w:val="tab"/>
      <w:pPr>
        <w:ind w:hanging="720" w:left="4425" w:start="4425"/>
      </w:pPr>
      <w:rPr>
        <w:rFonts w:ascii="Times New Roman" w:eastAsia="Times New Roman" w:hAnsi="Times New Roman" w:cs="Times New Roman"/>
        <w:sz w:val="24"/>
      </w:rPr>
    </w:lvl>
    <w:lvl w:ilvl="4">
      <w:lvlJc w:val="left"/>
      <w:lvlText w:val="%1.%2.%3.%4.%5"/>
      <w:numFmt w:val="decimal"/>
      <w:start w:val="1"/>
      <w:suff w:val="tab"/>
      <w:pPr>
        <w:ind w:hanging="1080" w:left="6000" w:start="6000"/>
      </w:pPr>
      <w:rPr>
        <w:rFonts w:ascii="Times New Roman" w:eastAsia="Times New Roman" w:hAnsi="Times New Roman" w:cs="Times New Roman"/>
        <w:sz w:val="24"/>
      </w:rPr>
    </w:lvl>
    <w:lvl w:ilvl="5">
      <w:lvlJc w:val="left"/>
      <w:lvlText w:val="%1.%2.%3.%4.%5.%6"/>
      <w:numFmt w:val="decimal"/>
      <w:start w:val="1"/>
      <w:suff w:val="tab"/>
      <w:pPr>
        <w:ind w:hanging="1440" w:left="7575" w:start="7575"/>
      </w:pPr>
      <w:rPr>
        <w:rFonts w:ascii="Times New Roman" w:eastAsia="Times New Roman" w:hAnsi="Times New Roman" w:cs="Times New Roman"/>
        <w:sz w:val="24"/>
      </w:rPr>
    </w:lvl>
    <w:lvl w:ilvl="6">
      <w:lvlJc w:val="left"/>
      <w:lvlText w:val="%1.%2.%3.%4.%5.%6.%7"/>
      <w:numFmt w:val="decimal"/>
      <w:start w:val="1"/>
      <w:suff w:val="tab"/>
      <w:pPr>
        <w:ind w:hanging="1440" w:left="8790" w:start="8790"/>
      </w:pPr>
      <w:rPr>
        <w:rFonts w:ascii="Times New Roman" w:eastAsia="Times New Roman" w:hAnsi="Times New Roman" w:cs="Times New Roman"/>
        <w:sz w:val="24"/>
      </w:rPr>
    </w:lvl>
    <w:lvl w:ilvl="7">
      <w:lvlJc w:val="left"/>
      <w:lvlText w:val="%1.%2.%3.%4.%5.%6.%7.%8"/>
      <w:numFmt w:val="decimal"/>
      <w:start w:val="1"/>
      <w:suff w:val="tab"/>
      <w:pPr>
        <w:ind w:hanging="1800" w:left="10365" w:start="10365"/>
      </w:pPr>
      <w:rPr>
        <w:rFonts w:ascii="Times New Roman" w:eastAsia="Times New Roman" w:hAnsi="Times New Roman" w:cs="Times New Roman"/>
        <w:sz w:val="24"/>
      </w:rPr>
    </w:lvl>
    <w:lvl w:ilvl="8">
      <w:lvlJc w:val="left"/>
      <w:lvlText w:val="%1.%2.%3.%4.%5.%6.%7.%8.%9"/>
      <w:numFmt w:val="decimal"/>
      <w:start w:val="1"/>
      <w:suff w:val="tab"/>
      <w:pPr>
        <w:ind w:hanging="1800" w:left="11580" w:start="11580"/>
      </w:pPr>
      <w:rPr>
        <w:rFonts w:ascii="Times New Roman" w:eastAsia="Times New Roman" w:hAnsi="Times New Roman" w:cs="Times New Roman"/>
        <w:sz w:val="24"/>
      </w:rPr>
    </w:lvl>
  </w:abstractNum>
  <w:abstractNum w:abstractNumId="674454231">
    <w:multiLevelType w:val="hybridMultilevel"/>
    <w:tmpl w:val="453a35bc"/>
    <w:lvl w:ilvl="0">
      <w:lvlJc w:val="left"/>
      <w:lvlText w:val="%1."/>
      <w:numFmt w:val="decimal"/>
      <w:start w:val="1"/>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739863892">
    <w:multiLevelType w:val="multilevel"/>
    <w:tmpl w:val="a048800e"/>
    <w:lvl w:ilvl="0">
      <w:lvlJc w:val="left"/>
      <w:lvlText w:val="%1."/>
      <w:numFmt w:val="decimal"/>
      <w:start w:val="1"/>
      <w:suff w:val="tab"/>
      <w:pPr>
        <w:ind w:hanging="360" w:left="1065" w:start="1065"/>
      </w:pPr>
      <w:rPr>
        <w:rFonts w:ascii="Times New Roman" w:eastAsia="Times New Roman" w:hAnsi="Times New Roman" w:cs="Times New Roman"/>
        <w:sz w:val="24"/>
      </w:rPr>
    </w:lvl>
    <w:lvl w:ilvl="1">
      <w:lvlJc w:val="left"/>
      <w:lvlText w:val="%1.%2."/>
      <w:numFmt w:val="decimal"/>
      <w:start w:val="2"/>
      <w:suff w:val="tab"/>
      <w:pPr>
        <w:ind w:hanging="720" w:left="1429" w:start="1429"/>
      </w:pPr>
      <w:rPr>
        <w:rFonts w:ascii="Times New Roman" w:eastAsia="Times New Roman" w:hAnsi="Times New Roman" w:cs="Times New Roman"/>
        <w:sz w:val="24"/>
      </w:rPr>
    </w:lvl>
    <w:lvl w:ilvl="2">
      <w:lvlJc w:val="left"/>
      <w:lvlText w:val="%1.%2.%3."/>
      <w:numFmt w:val="decimal"/>
      <w:start w:val="1"/>
      <w:suff w:val="tab"/>
      <w:pPr>
        <w:ind w:hanging="720" w:left="1433" w:start="1433"/>
      </w:pPr>
      <w:rPr>
        <w:rFonts w:ascii="Times New Roman" w:eastAsia="Times New Roman" w:hAnsi="Times New Roman" w:cs="Times New Roman"/>
        <w:sz w:val="24"/>
      </w:rPr>
    </w:lvl>
    <w:lvl w:ilvl="3">
      <w:lvlJc w:val="left"/>
      <w:lvlText w:val="%1.%2.%3.%4."/>
      <w:numFmt w:val="decimal"/>
      <w:start w:val="1"/>
      <w:suff w:val="tab"/>
      <w:pPr>
        <w:ind w:hanging="1080" w:left="1797" w:start="1797"/>
      </w:pPr>
      <w:rPr>
        <w:rFonts w:ascii="Times New Roman" w:eastAsia="Times New Roman" w:hAnsi="Times New Roman" w:cs="Times New Roman"/>
        <w:sz w:val="24"/>
      </w:rPr>
    </w:lvl>
    <w:lvl w:ilvl="4">
      <w:lvlJc w:val="left"/>
      <w:lvlText w:val="%1.%2.%3.%4.%5."/>
      <w:numFmt w:val="decimal"/>
      <w:start w:val="1"/>
      <w:suff w:val="tab"/>
      <w:pPr>
        <w:ind w:hanging="1080" w:left="1801" w:start="1801"/>
      </w:pPr>
      <w:rPr>
        <w:rFonts w:ascii="Times New Roman" w:eastAsia="Times New Roman" w:hAnsi="Times New Roman" w:cs="Times New Roman"/>
        <w:sz w:val="24"/>
      </w:rPr>
    </w:lvl>
    <w:lvl w:ilvl="5">
      <w:lvlJc w:val="left"/>
      <w:lvlText w:val="%1.%2.%3.%4.%5.%6."/>
      <w:numFmt w:val="decimal"/>
      <w:start w:val="1"/>
      <w:suff w:val="tab"/>
      <w:pPr>
        <w:ind w:hanging="1440" w:left="2165" w:start="2165"/>
      </w:pPr>
      <w:rPr>
        <w:rFonts w:ascii="Times New Roman" w:eastAsia="Times New Roman" w:hAnsi="Times New Roman" w:cs="Times New Roman"/>
        <w:sz w:val="24"/>
      </w:rPr>
    </w:lvl>
    <w:lvl w:ilvl="6">
      <w:lvlJc w:val="left"/>
      <w:lvlText w:val="%1.%2.%3.%4.%5.%6.%7."/>
      <w:numFmt w:val="decimal"/>
      <w:start w:val="1"/>
      <w:suff w:val="tab"/>
      <w:pPr>
        <w:ind w:hanging="1440" w:left="2169" w:start="2169"/>
      </w:pPr>
      <w:rPr>
        <w:rFonts w:ascii="Times New Roman" w:eastAsia="Times New Roman" w:hAnsi="Times New Roman" w:cs="Times New Roman"/>
        <w:sz w:val="24"/>
      </w:rPr>
    </w:lvl>
    <w:lvl w:ilvl="7">
      <w:lvlJc w:val="left"/>
      <w:lvlText w:val="%1.%2.%3.%4.%5.%6.%7.%8."/>
      <w:numFmt w:val="decimal"/>
      <w:start w:val="1"/>
      <w:suff w:val="tab"/>
      <w:pPr>
        <w:ind w:hanging="1800" w:left="2533" w:start="2533"/>
      </w:pPr>
      <w:rPr>
        <w:rFonts w:ascii="Times New Roman" w:eastAsia="Times New Roman" w:hAnsi="Times New Roman" w:cs="Times New Roman"/>
        <w:sz w:val="24"/>
      </w:rPr>
    </w:lvl>
    <w:lvl w:ilvl="8">
      <w:lvlJc w:val="left"/>
      <w:lvlText w:val="%1.%2.%3.%4.%5.%6.%7.%8.%9."/>
      <w:numFmt w:val="decimal"/>
      <w:start w:val="1"/>
      <w:suff w:val="tab"/>
      <w:pPr>
        <w:ind w:hanging="1800" w:left="2537" w:start="2537"/>
      </w:pPr>
      <w:rPr>
        <w:rFonts w:ascii="Times New Roman" w:eastAsia="Times New Roman" w:hAnsi="Times New Roman" w:cs="Times New Roman"/>
        <w:sz w:val="24"/>
      </w:rPr>
    </w:lvl>
  </w:abstractNum>
  <w:abstractNum w:abstractNumId="1017774243">
    <w:multiLevelType w:val="multilevel"/>
    <w:tmpl w:val="bb4842ec"/>
    <w:lvl w:ilvl="0">
      <w:lvlJc w:val="left"/>
      <w:lvlText w:val="%1."/>
      <w:numFmt w:val="decimal"/>
      <w:start w:val="1"/>
      <w:suff w:val="tab"/>
      <w:pPr>
        <w:ind w:hanging="390" w:left="450" w:start="450"/>
      </w:pPr>
      <w:rPr>
        <w:rFonts w:ascii="Times New Roman" w:eastAsia="Times New Roman" w:hAnsi="Times New Roman" w:cs="Times New Roman"/>
        <w:sz w:val="24"/>
      </w:rPr>
    </w:lvl>
    <w:lvl w:ilvl="1">
      <w:lvlJc w:val="left"/>
      <w:lvlText w:val="%1.%2"/>
      <w:numFmt w:val="decimal"/>
      <w:start w:val="1"/>
      <w:suff w:val="tab"/>
      <w:pPr>
        <w:ind w:hanging="360" w:left="1635" w:start="1635"/>
      </w:pPr>
      <w:rPr>
        <w:rFonts w:ascii="Times New Roman" w:eastAsia="Times New Roman" w:hAnsi="Times New Roman" w:cs="Times New Roman"/>
        <w:sz w:val="24"/>
      </w:rPr>
    </w:lvl>
    <w:lvl w:ilvl="2">
      <w:lvlJc w:val="left"/>
      <w:lvlText w:val="%1.%2.%3"/>
      <w:numFmt w:val="decimal"/>
      <w:start w:val="1"/>
      <w:suff w:val="tab"/>
      <w:pPr>
        <w:ind w:hanging="720" w:left="3210" w:start="3210"/>
      </w:pPr>
      <w:rPr>
        <w:rFonts w:ascii="Times New Roman" w:eastAsia="Times New Roman" w:hAnsi="Times New Roman" w:cs="Times New Roman"/>
        <w:sz w:val="24"/>
      </w:rPr>
    </w:lvl>
    <w:lvl w:ilvl="3">
      <w:lvlJc w:val="left"/>
      <w:lvlText w:val="%1.%2.%3.%4"/>
      <w:numFmt w:val="decimal"/>
      <w:start w:val="1"/>
      <w:suff w:val="tab"/>
      <w:pPr>
        <w:ind w:hanging="720" w:left="4425" w:start="4425"/>
      </w:pPr>
      <w:rPr>
        <w:rFonts w:ascii="Times New Roman" w:eastAsia="Times New Roman" w:hAnsi="Times New Roman" w:cs="Times New Roman"/>
        <w:sz w:val="24"/>
      </w:rPr>
    </w:lvl>
    <w:lvl w:ilvl="4">
      <w:lvlJc w:val="left"/>
      <w:lvlText w:val="%1.%2.%3.%4.%5"/>
      <w:numFmt w:val="decimal"/>
      <w:start w:val="1"/>
      <w:suff w:val="tab"/>
      <w:pPr>
        <w:ind w:hanging="1080" w:left="6000" w:start="6000"/>
      </w:pPr>
      <w:rPr>
        <w:rFonts w:ascii="Times New Roman" w:eastAsia="Times New Roman" w:hAnsi="Times New Roman" w:cs="Times New Roman"/>
        <w:sz w:val="24"/>
      </w:rPr>
    </w:lvl>
    <w:lvl w:ilvl="5">
      <w:lvlJc w:val="left"/>
      <w:lvlText w:val="%1.%2.%3.%4.%5.%6"/>
      <w:numFmt w:val="decimal"/>
      <w:start w:val="1"/>
      <w:suff w:val="tab"/>
      <w:pPr>
        <w:ind w:hanging="1440" w:left="7575" w:start="7575"/>
      </w:pPr>
      <w:rPr>
        <w:rFonts w:ascii="Times New Roman" w:eastAsia="Times New Roman" w:hAnsi="Times New Roman" w:cs="Times New Roman"/>
        <w:sz w:val="24"/>
      </w:rPr>
    </w:lvl>
    <w:lvl w:ilvl="6">
      <w:lvlJc w:val="left"/>
      <w:lvlText w:val="%1.%2.%3.%4.%5.%6.%7"/>
      <w:numFmt w:val="decimal"/>
      <w:start w:val="1"/>
      <w:suff w:val="tab"/>
      <w:pPr>
        <w:ind w:hanging="1440" w:left="8790" w:start="8790"/>
      </w:pPr>
      <w:rPr>
        <w:rFonts w:ascii="Times New Roman" w:eastAsia="Times New Roman" w:hAnsi="Times New Roman" w:cs="Times New Roman"/>
        <w:sz w:val="24"/>
      </w:rPr>
    </w:lvl>
    <w:lvl w:ilvl="7">
      <w:lvlJc w:val="left"/>
      <w:lvlText w:val="%1.%2.%3.%4.%5.%6.%7.%8"/>
      <w:numFmt w:val="decimal"/>
      <w:start w:val="1"/>
      <w:suff w:val="tab"/>
      <w:pPr>
        <w:ind w:hanging="1800" w:left="10365" w:start="10365"/>
      </w:pPr>
      <w:rPr>
        <w:rFonts w:ascii="Times New Roman" w:eastAsia="Times New Roman" w:hAnsi="Times New Roman" w:cs="Times New Roman"/>
        <w:sz w:val="24"/>
      </w:rPr>
    </w:lvl>
    <w:lvl w:ilvl="8">
      <w:lvlJc w:val="left"/>
      <w:lvlText w:val="%1.%2.%3.%4.%5.%6.%7.%8.%9"/>
      <w:numFmt w:val="decimal"/>
      <w:start w:val="1"/>
      <w:suff w:val="tab"/>
      <w:pPr>
        <w:ind w:hanging="1800" w:left="11580" w:start="11580"/>
      </w:pPr>
      <w:rPr>
        <w:rFonts w:ascii="Times New Roman" w:eastAsia="Times New Roman" w:hAnsi="Times New Roman" w:cs="Times New Roman"/>
        <w:sz w:val="24"/>
      </w:rPr>
    </w:lvl>
  </w:abstractNum>
  <w:abstractNum w:abstractNumId="1542546910">
    <w:multiLevelType w:val="multilevel"/>
    <w:tmpl w:val="82fecf70"/>
    <w:lvl w:ilvl="0">
      <w:lvlJc w:val="left"/>
      <w:lvlText w:val="%1"/>
      <w:numFmt w:val="decimal"/>
      <w:start w:val="1"/>
      <w:suff w:val="tab"/>
      <w:pPr>
        <w:ind w:hanging="360" w:left="360" w:start="360"/>
      </w:pPr>
      <w:rPr>
        <w:rFonts w:ascii="Times New Roman CYR" w:eastAsia="Times New Roman CYR" w:hAnsi="Times New Roman CYR" w:cs="Times New Roman CYR"/>
        <w:sz w:val="24"/>
      </w:rPr>
    </w:lvl>
    <w:lvl w:ilvl="1">
      <w:lvlJc w:val="left"/>
      <w:lvlText w:val="%1.%2"/>
      <w:numFmt w:val="decimal"/>
      <w:start w:val="3"/>
      <w:suff w:val="tab"/>
      <w:pPr>
        <w:ind w:hanging="360" w:left="1635" w:start="1635"/>
      </w:pPr>
      <w:rPr>
        <w:rFonts w:ascii="Times New Roman CYR" w:eastAsia="Times New Roman CYR" w:hAnsi="Times New Roman CYR" w:cs="Times New Roman CYR"/>
        <w:sz w:val="24"/>
      </w:rPr>
    </w:lvl>
    <w:lvl w:ilvl="2">
      <w:lvlJc w:val="left"/>
      <w:lvlText w:val="%1.%2.%3"/>
      <w:numFmt w:val="decimal"/>
      <w:start w:val="1"/>
      <w:suff w:val="tab"/>
      <w:pPr>
        <w:ind w:hanging="720" w:left="3270" w:start="3270"/>
      </w:pPr>
      <w:rPr>
        <w:rFonts w:ascii="Times New Roman CYR" w:eastAsia="Times New Roman CYR" w:hAnsi="Times New Roman CYR" w:cs="Times New Roman CYR"/>
        <w:sz w:val="24"/>
      </w:rPr>
    </w:lvl>
    <w:lvl w:ilvl="3">
      <w:lvlJc w:val="left"/>
      <w:lvlText w:val="%1.%2.%3.%4"/>
      <w:numFmt w:val="decimal"/>
      <w:start w:val="1"/>
      <w:suff w:val="tab"/>
      <w:pPr>
        <w:ind w:hanging="720" w:left="4545" w:start="4545"/>
      </w:pPr>
      <w:rPr>
        <w:rFonts w:ascii="Times New Roman CYR" w:eastAsia="Times New Roman CYR" w:hAnsi="Times New Roman CYR" w:cs="Times New Roman CYR"/>
        <w:sz w:val="24"/>
      </w:rPr>
    </w:lvl>
    <w:lvl w:ilvl="4">
      <w:lvlJc w:val="left"/>
      <w:lvlText w:val="%1.%2.%3.%4.%5"/>
      <w:numFmt w:val="decimal"/>
      <w:start w:val="1"/>
      <w:suff w:val="tab"/>
      <w:pPr>
        <w:ind w:hanging="1080" w:left="6180" w:start="6180"/>
      </w:pPr>
      <w:rPr>
        <w:rFonts w:ascii="Times New Roman CYR" w:eastAsia="Times New Roman CYR" w:hAnsi="Times New Roman CYR" w:cs="Times New Roman CYR"/>
        <w:sz w:val="24"/>
      </w:rPr>
    </w:lvl>
    <w:lvl w:ilvl="5">
      <w:lvlJc w:val="left"/>
      <w:lvlText w:val="%1.%2.%3.%4.%5.%6"/>
      <w:numFmt w:val="decimal"/>
      <w:start w:val="1"/>
      <w:suff w:val="tab"/>
      <w:pPr>
        <w:ind w:hanging="1440" w:left="7815" w:start="7815"/>
      </w:pPr>
      <w:rPr>
        <w:rFonts w:ascii="Times New Roman CYR" w:eastAsia="Times New Roman CYR" w:hAnsi="Times New Roman CYR" w:cs="Times New Roman CYR"/>
        <w:sz w:val="24"/>
      </w:rPr>
    </w:lvl>
    <w:lvl w:ilvl="6">
      <w:lvlJc w:val="left"/>
      <w:lvlText w:val="%1.%2.%3.%4.%5.%6.%7"/>
      <w:numFmt w:val="decimal"/>
      <w:start w:val="1"/>
      <w:suff w:val="tab"/>
      <w:pPr>
        <w:ind w:hanging="1440" w:left="9090" w:start="9090"/>
      </w:pPr>
      <w:rPr>
        <w:rFonts w:ascii="Times New Roman CYR" w:eastAsia="Times New Roman CYR" w:hAnsi="Times New Roman CYR" w:cs="Times New Roman CYR"/>
        <w:sz w:val="24"/>
      </w:rPr>
    </w:lvl>
    <w:lvl w:ilvl="7">
      <w:lvlJc w:val="left"/>
      <w:lvlText w:val="%1.%2.%3.%4.%5.%6.%7.%8"/>
      <w:numFmt w:val="decimal"/>
      <w:start w:val="1"/>
      <w:suff w:val="tab"/>
      <w:pPr>
        <w:ind w:hanging="1800" w:left="10725" w:start="10725"/>
      </w:pPr>
      <w:rPr>
        <w:rFonts w:ascii="Times New Roman CYR" w:eastAsia="Times New Roman CYR" w:hAnsi="Times New Roman CYR" w:cs="Times New Roman CYR"/>
        <w:sz w:val="24"/>
      </w:rPr>
    </w:lvl>
    <w:lvl w:ilvl="8">
      <w:lvlJc w:val="left"/>
      <w:lvlText w:val="%1.%2.%3.%4.%5.%6.%7.%8.%9"/>
      <w:numFmt w:val="decimal"/>
      <w:start w:val="1"/>
      <w:suff w:val="tab"/>
      <w:pPr>
        <w:ind w:hanging="1800" w:left="12000" w:start="12000"/>
      </w:pPr>
      <w:rPr>
        <w:rFonts w:ascii="Times New Roman CYR" w:eastAsia="Times New Roman CYR" w:hAnsi="Times New Roman CYR" w:cs="Times New Roman CYR"/>
        <w:sz w:val="24"/>
      </w:rPr>
    </w:lvl>
  </w:abstractNum>
  <w:abstractNum w:abstractNumId="1845591457">
    <w:multiLevelType w:val="multilevel"/>
    <w:tmpl w:val="4fb2e8d2"/>
    <w:lvl w:ilvl="0">
      <w:lvlJc w:val="left"/>
      <w:lvlText w:val="%1."/>
      <w:numFmt w:val="decimal"/>
      <w:start w:val="1"/>
      <w:suff w:val="tab"/>
      <w:pPr>
        <w:ind w:hanging="1275" w:left="1275" w:start="1275"/>
      </w:pPr>
      <w:rPr>
        <w:rFonts w:ascii="Times New Roman" w:eastAsia="Times New Roman" w:hAnsi="Times New Roman" w:cs="Times New Roman"/>
        <w:sz w:val="24"/>
      </w:rPr>
    </w:lvl>
    <w:lvl w:ilvl="1">
      <w:lvlJc w:val="left"/>
      <w:lvlText w:val="%1.%2."/>
      <w:numFmt w:val="decimal"/>
      <w:start w:val="1"/>
      <w:suff w:val="tab"/>
      <w:pPr>
        <w:ind w:hanging="1275" w:left="1983" w:start="1983"/>
      </w:pPr>
      <w:rPr>
        <w:rFonts w:ascii="Times New Roman" w:eastAsia="Times New Roman" w:hAnsi="Times New Roman" w:cs="Times New Roman"/>
        <w:sz w:val="24"/>
      </w:rPr>
    </w:lvl>
    <w:lvl w:ilvl="2">
      <w:lvlJc w:val="left"/>
      <w:lvlText w:val="%1.%2.%3."/>
      <w:numFmt w:val="decimal"/>
      <w:start w:val="1"/>
      <w:suff w:val="tab"/>
      <w:pPr>
        <w:ind w:hanging="1275" w:left="2691" w:start="2691"/>
      </w:pPr>
      <w:rPr>
        <w:rFonts w:ascii="Times New Roman" w:eastAsia="Times New Roman" w:hAnsi="Times New Roman" w:cs="Times New Roman"/>
        <w:sz w:val="24"/>
      </w:rPr>
    </w:lvl>
    <w:lvl w:ilvl="3">
      <w:lvlJc w:val="left"/>
      <w:lvlText w:val="%1.%2.%3.%4."/>
      <w:numFmt w:val="decimal"/>
      <w:start w:val="1"/>
      <w:suff w:val="tab"/>
      <w:pPr>
        <w:ind w:hanging="1275" w:left="3399" w:start="3399"/>
      </w:pPr>
      <w:rPr>
        <w:rFonts w:ascii="Times New Roman" w:eastAsia="Times New Roman" w:hAnsi="Times New Roman" w:cs="Times New Roman"/>
        <w:sz w:val="24"/>
      </w:rPr>
    </w:lvl>
    <w:lvl w:ilvl="4">
      <w:lvlJc w:val="left"/>
      <w:lvlText w:val="%1.%2.%3.%4.%5."/>
      <w:numFmt w:val="decimal"/>
      <w:start w:val="1"/>
      <w:suff w:val="tab"/>
      <w:pPr>
        <w:ind w:hanging="1275" w:left="4107" w:start="4107"/>
      </w:pPr>
      <w:rPr>
        <w:rFonts w:ascii="Times New Roman" w:eastAsia="Times New Roman" w:hAnsi="Times New Roman" w:cs="Times New Roman"/>
        <w:sz w:val="24"/>
      </w:rPr>
    </w:lvl>
    <w:lvl w:ilvl="5">
      <w:lvlJc w:val="left"/>
      <w:lvlText w:val="%1.%2.%3.%4.%5.%6."/>
      <w:numFmt w:val="decimal"/>
      <w:start w:val="1"/>
      <w:suff w:val="tab"/>
      <w:pPr>
        <w:ind w:hanging="1440" w:left="4980" w:start="4980"/>
      </w:pPr>
      <w:rPr>
        <w:rFonts w:ascii="Times New Roman" w:eastAsia="Times New Roman" w:hAnsi="Times New Roman" w:cs="Times New Roman"/>
        <w:sz w:val="24"/>
      </w:rPr>
    </w:lvl>
    <w:lvl w:ilvl="6">
      <w:lvlJc w:val="left"/>
      <w:lvlText w:val="%1.%2.%3.%4.%5.%6.%7."/>
      <w:numFmt w:val="decimal"/>
      <w:start w:val="1"/>
      <w:suff w:val="tab"/>
      <w:pPr>
        <w:ind w:hanging="1440" w:left="5688" w:start="5688"/>
      </w:pPr>
      <w:rPr>
        <w:rFonts w:ascii="Times New Roman" w:eastAsia="Times New Roman" w:hAnsi="Times New Roman" w:cs="Times New Roman"/>
        <w:sz w:val="24"/>
      </w:rPr>
    </w:lvl>
    <w:lvl w:ilvl="7">
      <w:lvlJc w:val="left"/>
      <w:lvlText w:val="%1.%2.%3.%4.%5.%6.%7.%8."/>
      <w:numFmt w:val="decimal"/>
      <w:start w:val="1"/>
      <w:suff w:val="tab"/>
      <w:pPr>
        <w:ind w:hanging="1800" w:left="6756" w:start="6756"/>
      </w:pPr>
      <w:rPr>
        <w:rFonts w:ascii="Times New Roman" w:eastAsia="Times New Roman" w:hAnsi="Times New Roman" w:cs="Times New Roman"/>
        <w:sz w:val="24"/>
      </w:rPr>
    </w:lvl>
    <w:lvl w:ilvl="8">
      <w:lvlJc w:val="left"/>
      <w:lvlText w:val="%1.%2.%3.%4.%5.%6.%7.%8.%9."/>
      <w:numFmt w:val="decimal"/>
      <w:start w:val="1"/>
      <w:suff w:val="tab"/>
      <w:pPr>
        <w:ind w:hanging="1800" w:left="7464" w:start="7464"/>
      </w:pPr>
      <w:rPr>
        <w:rFonts w:ascii="Times New Roman" w:eastAsia="Times New Roman" w:hAnsi="Times New Roman" w:cs="Times New Roman"/>
        <w:sz w:val="24"/>
      </w:rPr>
    </w:lvl>
  </w:abstractNum>
  <w:num w:numId="1">
    <w:abstractNumId w:val="132257881"/>
  </w:num>
  <w:num w:numId="2">
    <w:abstractNumId w:val="674454231"/>
  </w:num>
  <w:num w:numId="3">
    <w:abstractNumId w:val="1845591457"/>
  </w:num>
  <w:num w:numId="4">
    <w:abstractNumId w:val="571426608"/>
  </w:num>
  <w:num w:numId="5">
    <w:abstractNumId w:val="1017774243"/>
  </w:num>
  <w:num w:numId="6">
    <w:abstractNumId w:val="1542546910"/>
  </w:num>
  <w:num w:numId="7">
    <w:abstractNumId w:val="739863892"/>
  </w:num>
  <w:num w:numId="8">
    <w:abstractNumId w:val="186219397"/>
  </w:num>
</w:numbering>
</file>

<file path=word/settings.xml><?xml version="1.0" encoding="utf-8"?>
<w:settings xmlns:w="http://schemas.openxmlformats.org/wordprocessingml/2006/main" xmlns:m="http://schemas.openxmlformats.org/officeDocument/2006/math">
  <w:zoom w:percent="100"/>
  <w:defaultTabStop w:val="708"/>
  <w:characterSpacingControl xmlns:w="http://schemas.openxmlformats.org/wordprocessingml/2006/main" w:val="doNotCompress"/>
  <w:compat xmlns:w="http://schemas.openxmlformats.org/wordprocessingml/2006/main"/>
  <m:mathPr>
    <m:mathFont xmlns:m="http://schemas.openxmlformats.org/officeDocument/2006/math"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bordersDoNotSurroundHeader xmlns:w="http://schemas.openxmlformats.org/wordprocessingml/2006/main" w:val="false"/>
  <w:bordersDoNotSurroundFooter xmlns:w="http://schemas.openxmlformats.org/wordprocessingml/2006/main" w:val="false"/>
  <w:footnotePr xmlns:w="http://schemas.openxmlformats.org/wordprocessingml/2006/main">
    <w:footnote w:id="1"/>
    <w:footnote w:id="0"/>
    <w:pos w:val="pageBottom"/>
  </w:footnotePr>
  <w:endnotePr xmlns:w="http://schemas.openxmlformats.org/wordprocessingml/2006/main">
    <w:endnote w:id="1"/>
    <w:endnote w:id="0"/>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theme" Target="theme/theme1.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fontTable" Target="fontTable.xml"/><Relationship Id="rId11"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1</TotalTime>
  <Pages>7</Pages>
  <Words>1481</Words>
  <Characters>8444</Characters>
  <CharactersWithSpaces>9906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coreProperties>
</file>