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2" Type="http://schemas.openxmlformats.org/officeDocument/2006/relationships/extended-properties" Target="docProps/app.xml"/><Relationship Id="rId2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26.11.2019 г.                                                                                                № 276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left"/>
        <w:textAlignment w:val="auto"/>
        <w:ind w:left="0" w:right="4676" w:start="0" w:end="4676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 создании муниципального казенного предприятия «ЖКХ Бабынино» муниципального района «Бабынинский район» Калужской области</w:t>
      </w:r>
    </w:p>
    <w:p>
      <w:pPr>
        <w:outlineLvl w:val="0"/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color w:val="000000"/>
        </w:rPr>
        <w:t xml:space="preserve">В целях реформирования системы оказания жилищно-коммунальных услуг населению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«Бабынинский район», руководствуясь </w:t>
      </w:r>
      <w:hyperlink r:id="rId3">
        <w:r>
          <w:rPr>
            <w:rFonts w:ascii="Times New Roman" w:eastAsia="Times New Roman" w:hAnsi="Times New Roman" w:cs="Times New Roman"/>
            <w:sz w:val="28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муниципального района «Бабынинский район» Калужской области,</w:t>
      </w:r>
    </w:p>
    <w:p>
      <w:pPr>
        <w:outlineLvl w:val="0"/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firstLine="684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Создать муниципальное казенное предприятие «ЖКХ Бабынино» муниципального района «Бабынинский район» Калужской области (далее - Предприятие). Учредителем и собственником имущества Предприятия является муниципальный район «Бабынинский район» Калужской области. Правомочия учредителя Предприятия осуществляет администрация муниципального района «Бабынинский район» Калужской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Определить целью и предметом деятельности муниципального казенного предприятия «ЖКХ Бабынино» муниципального района «Бабынинский район» Калужской области оказание жилищно-коммунальных услуг населению муниципального района «Бабынинский район» Калужской области, удовлетворение потребностей юридических и физических лиц в работах, товарах и услугах.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Утвердить прилагаемый </w:t>
      </w:r>
      <w:hyperlink r:id="rId4">
        <w:r>
          <w:rPr>
            <w:rFonts w:ascii="Times New Roman" w:eastAsia="Times New Roman" w:hAnsi="Times New Roman" w:cs="Times New Roman"/>
            <w:sz w:val="28"/>
          </w:rPr>
          <w:t xml:space="preserve">Устав</w:t>
        </w:r>
      </w:hyperlink>
      <w:r>
        <w:rPr>
          <w:rFonts w:ascii="Times New Roman" w:eastAsia="Times New Roman" w:hAnsi="Times New Roman" w:cs="Times New Roman"/>
          <w:sz w:val="28"/>
        </w:rPr>
        <w:t xml:space="preserve"> муниципального казенного предприятия «ЖКХ Бабынино» муниципального район «Бабынинский район» Калужской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Администрации муниципального района «Бабынинский район» Калужской области определить уполномоченное лицо по подготовке и представлению в регистрирующий орган учредительных документов.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Администрации муниципального района «Бабынинский район» закрепить за предприятием муниципальное имущество.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Финансирование расходов, связанных с реализацией настоящего решения, осуществляется за счет и в пределах средств бюджета муниципального района «Бабынинский район».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Контроль за исполнением настоящего решения возложить на  главу администрации муниципального района «Бабынинский район» Калужской области В.В. Яничева.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Настоящее решение вступает в силу со дня его официального опубликования.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муниципального района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«Бабынинский район»                                                                        А.И. 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536" w:right="0" w:start="453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Приложение </w:t>
      </w:r>
    </w:p>
    <w:p>
      <w:pPr>
        <w:jc w:val="left"/>
        <w:textAlignment w:val="auto"/>
        <w:ind w:left="4536" w:right="0" w:start="453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ff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к решению Районного Собрания муниципального района «Бабынинский район» Калужской области от  26.11. 2019 года № 276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УСТАВ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МУНИЦИПАЛЬНОГО КАЗЕННОГО ПРЕДПРИЯТИЯ «ЖКХ БАБЫНИНО»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МУНИЦИПАЛЬНОГО РАЙОНА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КАЛУЖСКОЙ ОБЛАСТИ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  <w:color w:val="ff000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п. Бабынино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2019 г.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ОБЩИЕ ПОЛОЖЕНИЯ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20" w:right="20" w:start="20" w:end="20"/>
        <w:adjustRightInd w:val="true"/>
        <w:spacing w:after="0" w:line="274" w:lineRule="exact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Муниципальное казенное предприятие «ЖКХ Бабынино» муниципального образования - Бабынинский муниципальный район Калужской области, именуемое в дальнейшем «Предприятие», создано на основании решения Районного Собрания муниципального района «Бабынинский район» и действует на основании законодательства Российской Федерации, Калужской области, настоящего Устава, муниципальных правовых актов муниципального района «Бабынинский район» Калужской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Фирменное наименование Предприятия на русском языке -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полное: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казенное предприятие «ЖКХ Бабынино» муниципального района «Бабынинский район» Калужской области;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сокращенное: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МКП «ЖКХ «Бабынино».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1.3. Место нахождения Предприятия: Калужская область, Бабынинский район, пос. Бабынино, ул. Школьная, д. 12.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1.4. Почтовый адрес Предприятия: 249210, Калужская область, Бабынинский район, пос. Бабынино, ул. Школьная, д. 12.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1.6. Учредителем и собственником имущества Предприятия является муниципальное образование - муниципальный район «Бабынинский район» Калужской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1.7. Правомочия учредителя Предприятия осуществляет Администрация муниципального района «Бабынинский район» Калужской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1.8. Полномочия собственника имущества Предприятия осуществляет орган местного самоуправления муниципального района «Бабынинский район» в соответствии с порядком управления и распоряжения имуществом, находящимся в собственности муниципального района «Бабыниский район».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ПРАВОВОЕ ПОЛОЖЕНИЕ И ОТВЕТСТВЕННОСТЬ ПРЕДПРИЯТИЯ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Предприятие считается созданным как юридическое лицо с момента его государственной регистрации.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Предприятие имеет самостоятельный баланс, может от своего имени приобретать и осуществлять гражданские права, нести гражданские обязанности, необходимые для осуществления его деятельности, быть истцом и ответчиком в суде.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Деятельность Предприятия осуществляется в соответствии со сметой доходов и расходов, утверждаемой собственником его имущества, заданиями собственника его имущества, в лице Главы Администрации муниципального района «Бабынинский район» Калужской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 Предприятие создано без ограничения срока.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Предприятие вправе иметь штампы, бланки со своим фирменным наименованием</w:t>
      </w:r>
      <w:r>
        <w:rPr>
          <w:rFonts w:ascii="Times New Roman" w:eastAsia="Times New Roman" w:hAnsi="Times New Roman" w:cs="Times New Roman"/>
          <w:sz w:val="24"/>
        </w:rPr>
        <w:t xml:space="preserve">, собственную эмблему, а также зарегистрированный в установленном порядке товарный знак и другие средства индивидуализации.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Предприятие вправе в установленном порядке открывать банковские счета на территории Российской Федерации и за ее пределами.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 Предприятие несет ответственность по своим обязательствам, установленную законодательством Российской Федерации, за результаты своей производственно-хозяйственной деятельности и выполнение обязательств перед собственником имущества муниципальным районом «Бабыниский район» Калужской области, поставщиками, потребителями, бюджетом, банками и другими юридическими и физическими лицами.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Предприятие не несет ответственность по обязательствам собственника его имущества.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Предприятие отвечает по своим обязательствам всем принадлежащим ему имуществом. Муниципальное образование в установленном порядке при недостаточности имущества у Предприятия несет субсидиарную ответственность по его обязательствам.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ФИЛИАЛЫ И ПРЕДСТАВИТЕЛЬСТВА. УЧАСТИЕ В КОММЕРЧЕСКИХ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НЕКОММЕРЧЕСКИХ ОРГАНИЗАЦИЯХ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Предприятие по согласованию с собственником его имущества может создавать филиалы и открывать представительства.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</w:t>
      </w:r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закона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14.11.2002 № 161-ФЗ «О государственных и муниципальных унитарных предприятиях»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Предприятия, если иное не предусмотрено международными договорами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Представительством Предприятия является его обособленное подразделение, расположенное вне места нахождения Предприятия, представляющее интересы Предприятия и осуществляющее их защиту.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 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филиала или представительства Предприятия назначается Предприятием и действует на основании его доверенности. При прекращении трудового договора с руководителем филиала или представительства указанная доверенность отменяется Предприятием.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На момент государственной регистрации Предприятие не имеет открытых представительств и созданных филиалов.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Предприятие не вправе выступать учредителем (участником) кредитных организаций.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 Решение об участии Предприятия в коммерческой или некоммерческой организации может быть принято только с согласия собственника его имущества.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 его имущества.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ИМУЩЕСТВО ПРЕДПРИЯТИЯ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Все имущество Предприятия находится в муниципальной собственности муниципального района «Бабынинский район», является неделимым и не может быть распределено по вкладам (долям, паям), в том числе между работниками Предприятия, принадлежит ему на праве оперативного управления, отражается на его самостоятельном балансе.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Доходы Предприятия, полученные от осуществления разрешенной настоящим Уставом деятельности, учитываются в смете доходов и расходов Предприятия в полном объеме и используются на установленные настоящим Уставом цели и предмет деятельности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Доходы от использования муниципального имущества, переданного Предприятию в оперативное управление, поступают в распоряжение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Источниками формирования имущества Предприятия, в том числе финансовых ресурсов, являются: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имущество, переданное Предприятию его собственником или уполномоченным им органом;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доходы, полученные от выполнения работ, услуг, реализации продукции, а также от других видов хозяйственной, финансовой и внешнеэкономической деятельности, разрешенных настоящим Уставом;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- заемные средства, в том числе кредиты банков и других кредитных организаций, получение которых согласовано и зарегистрировано в установленном порядке;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- амортизационные отчисления;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- бюджетные ассигнования;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- дивиденды (доходы), поступающие от хозяйственных обществ и товариществ, в уставных капиталах которых участвует Предприятие;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иные источники, не противоречащие законодательству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Предприятие не вправе без согласия собственника имущества Предприятия совершать: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сделки по распоряжению вкладом (долей) в уставном (складочном) капитале хозяйственного общества или товарищества, а также принадлежащими казенному Предприятию акциями;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сделки по распоряжению имуществом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сделки, связанные с предоставлением займов, поручительств, получением банковских гарантий (за исключением банковских гарантий, предоставляемых для участия в торгах), с иными обременениями, уступкой требований, переводом долга, а также заключать договоры простого товарищества;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сделки, направленные на получение заимствований;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сделки, в совершении которых имеется заинтересованность.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Сделки Предприятия, для осуществления которых требуется получение предварительного согласия учредителя Предприятия, согласовываются в порядке, установленном муниципальными правовыми актами.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Сделки, совершение которых необходимо для ликвидации последствий явлении стихийного характера (аварии, стихийные бедствия) осуществляются Предприятием самостоятельно в порядке, установленном муниципальными правовыми актами.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Сделки, совершенные Предприятием с нарушением этого требования, являются ничтожными.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4.7. Права на объекты интеллектуальной собственности Предприятие осуществляет в соответствии с законодательством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4.8. Предприятие вправе создавать (ликвидировать) филиалы и представительства по согласованию с собственником имущества.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ЦЕЛИ, ПРЕДМЕТ И ВИДЫ ДЕЯТЕЛЬНОСТИ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20" w:start="0" w:end="2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bookmarkStart w:id="1" w:name="Par76"/>
      <w:bookmarkEnd w:id="1"/>
      <w:r>
        <w:rPr>
          <w:rFonts w:ascii="Times New Roman" w:eastAsia="Times New Roman" w:hAnsi="Times New Roman" w:cs="Times New Roman"/>
          <w:sz w:val="24"/>
        </w:rPr>
        <w:t xml:space="preserve">         5.1. Предприятие создано в целях решения вопросов местного значения, оказания жилищно-коммунальных услуг населению муниципального района «Бабынинский район» Калужской области, удовлетворения потребностей юридических и физических лиц в работах, товарах и услугах.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bookmarkStart w:id="2" w:name="Par77"/>
      <w:bookmarkEnd w:id="2"/>
      <w:r>
        <w:rPr>
          <w:rFonts w:ascii="Times New Roman" w:eastAsia="Times New Roman" w:hAnsi="Times New Roman" w:cs="Times New Roman"/>
          <w:sz w:val="24"/>
        </w:rPr>
        <w:t xml:space="preserve">5.2. Предметом деятельности Предприятия является осуществление деятельности по оказанию жилищно-коммунальных услуг, удовлетворению общественных потребностей юридических и физических лиц в работах, товарах, услугах.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bookmarkStart w:id="3" w:name="Par78"/>
      <w:bookmarkEnd w:id="3"/>
      <w:r>
        <w:rPr>
          <w:rFonts w:ascii="Times New Roman" w:eastAsia="Times New Roman" w:hAnsi="Times New Roman" w:cs="Times New Roman"/>
          <w:sz w:val="24"/>
        </w:rPr>
        <w:t xml:space="preserve">5.3. Предприятие имеет гражданские права, соответствующие целям и предмету его деятельности, предусмотренным в </w:t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пунктах 5.1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и </w:t>
      </w:r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5.2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настоящего Устава, и несет связанные с этой деятельностью гражданские обязанности.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достижения целей, установленных в </w:t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пункте 5.1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настоящего Устава, Предприятие вправе осуществлять следующие виды деятельности: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производство тепловой энергии, обеспечение работоспособности тепловых сетей, их эксплуатация и поставка тепловой энергии потребителям;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эксплуатация центральных систем водоснабжения, оказание услуг по водоснабжению;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эксплуатация центральных систем водоотведения, оказание услуг по водоотведению;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управление эксплуатацией жилого фонда;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сбор и вывоз твердых (в том числе крупногабаритных) и жидких коммунальных отходов;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содержание и эксплуатация жилищного фонда, выполнение функций управляющей организации в сфере управления многоквартирными домами</w:t>
      </w:r>
      <w:r>
        <w:rPr>
          <w:rFonts w:ascii="Times New Roman" w:eastAsia="Times New Roman" w:hAnsi="Times New Roman" w:cs="Times New Roman"/>
          <w:sz w:val="24"/>
        </w:rPr>
        <w:t xml:space="preserve">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ведение технической документации на объекты жилищного фонда и инженерной инфраструктуры коммунального назначения в соответствии с установленными требованиями</w:t>
      </w:r>
      <w:r>
        <w:rPr>
          <w:rFonts w:ascii="Times New Roman" w:eastAsia="Times New Roman" w:hAnsi="Times New Roman" w:cs="Times New Roman"/>
          <w:sz w:val="24"/>
        </w:rPr>
        <w:t xml:space="preserve">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заключение договоров с поставщиками и потребителями на оказание жилищно – коммунальных услуг, организация учета их объемов, контроль качества предоставленных услуг, применение к поставщикам и потребителям услуг санкций за нарушение условий договоров;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начисление и сбор платежей с потребителей за оказанные жилищно – коммунальные услуги, в т.ч. с граждан с учетом предоставления им льгот, взыскание в судебном порядке задолженности с потребителей за предоставленные жилищно – коммунальные услуги;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строительные работы, ремонт, реконструкция жилых и нежилых зданий и помещений;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выполнение работ в сфере благоустройства;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обеспечение рассмотрения предложений, заявлений, жалоб, возникающих по поводу жилищно – коммунального обслуживания потребителей, и принятие по ним мер в пределах своей компетенции;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все виды сантехнических работ;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работ по ликвидации аварий и повреждений на обслуживаемых объектах;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- выполнение кадастровых работ (под вопросом);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оказание платных и безвозмездных услуг, непосредственно связанных с деятельностью Предприятия, физическим и юридическим лицам;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оптовая и розничная торговля</w:t>
      </w:r>
      <w:r>
        <w:rPr>
          <w:rFonts w:ascii="Times New Roman" w:eastAsia="Times New Roman" w:hAnsi="Times New Roman" w:cs="Times New Roman"/>
          <w:sz w:val="24"/>
        </w:rPr>
        <w:t xml:space="preserve">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ритуальных услуг;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осуществление деятельности по обращению с животными без владельцев, обитающими на территории муниципального района;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иные виды хозяйственной деятельности, в том числе внешнеэкономической, не запрещенной законодательством и обеспечивающие получение прибыли.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5.4. Предприятия вправе осуществлять иную деятельность, не лишающую его возможности реализовывать цели, предмет и виды деятельности, определенные в </w:t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пунктах 5.1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5.3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настоящего Устава.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5.5. Виды деятельности, подлежащие обязательному лицензированию, осуществляются Предприятием после получения соответствующей лицензии.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ОРГАНИЗАЦИЯ ДЕЯТЕЛЬНОСТИ ПРЕДПРИЯТИЯ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Предприятие строит свои отношения с государственными органами, муниципальными органами, другими предприятиями, организациями и гражданами во всех сферах хозяйственной деятельности на основе договоров, соглашений, контрактов.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Предприятие свободно в выборе форм и предмета договоров и обязательств, любых других условий взаимоотношений с другими предприятиями, учреждениями и организациями, за исключением случаев, предусмотренных законодательством, настоящим Уставом.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Предприятие устанавливает цены и тарифы на все виды производимых работ, услуг, выпускаемую и реализуемую продукцию в соответствии с законами и иными нормативными правовыми актами Российской Федерации, Калужской области и муниципальными правовыми актами</w:t>
      </w:r>
      <w:r>
        <w:rPr>
          <w:rFonts w:ascii="Times New Roman" w:eastAsia="Times New Roman" w:hAnsi="Times New Roman" w:cs="Times New Roman"/>
          <w:sz w:val="24"/>
        </w:rPr>
        <w:t xml:space="preserve">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Для выполнения уставных целей Предприятие имеет право в порядке, установленном законодательством и нормативными правовыми актами Российской Федерации, Калужской области и муниципального района: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 согласованию создавать филиалы и представительства, утверждать положения о них, принимать решения об их реорганизации и ликвидации;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приобретать или арендовать основные и оборотные средства за счет имеющихся у него финансовых ресурсов и иных не противоречащих законодательству источников;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осуществлять внешнеэкономическую деятельность в соответствии с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осуществлять материально-техническое обеспечение производства и развитие объектов социальной сферы;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планировать свою деятельность и определять перспективы развития исходя из спроса на выполняемые работы, оказываемые услуги, производимую продукцию;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определять и устанавливать формы и системы оплаты труда, структуру и штатное расписание в пределах сметы доходов и расходов, утверждаемой Администрацией муниципального района «Бабынинский район»;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определять размер средств, направляемых на оплату труда работников Предприятия, на техническое и социальное развитие, в соответствии с порядком формирования фондов Предприятия, регламентированным муниципальными правовыми актами, и в пределах сметы доходов и расходов, утверждаемой Администрацией муниципального района «Бабынинский район».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6.4. Предприятие не вправе: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использовать амортизационные отчисления на цели потребления, в том числе на оплату труда работников Предприятия, социальное развитие, выплату вознаграждения руководителю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использовать средства, полученные от сделок с имуществом (арендную плату, дивиденды по акциям, средства от продажи имущества) на цели потребления, в том числе на оплату труда работников Предприятия, социальное развитие, выплату вознаграждения руководителю Предприятия, если только видами деятельности Предприятия не является управление имуществом.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6.5. Предприятие обязано: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согласовывать в порядке, устанавливаемом муниципальными правовыми актами, осуществление Предприятием сделок по распоряжению имуществом, находящимся в оперативном управлении Предприятия, с собственником имущества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согласовывать в порядке, устанавливаемом муниципальными правовыми актами, осуществление Предприятием крупной сделки, величина которой установлена законодательством, с собственником имущества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согласовывать в порядке, устанавливаемом муниципальными правовыми актами, с собственником имущества Предприятия сделок, в совершении которых имеется заинтересованность руководителя Предприятия, в соответствии с требованиями, установленными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согласовывать в порядке, устанавливаемом муниципальными правовыми актами, с собственником имущества Предприятия заимствования в соответствии с требованиями, установленными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согласовывать в порядке, устанавливаемом муниципальными правовыми актами, с собственником имущества Предприятия сделки Предприятия (передача в аренду, залог, внесение в качестве вклада в уставный (складочный) капитал хозяйственного общества или товарищества, заключение договора простого товарищества или иные способы распоряжения имуществом, в том числе его продажа) с муниципальным имуществом, переданным в оперативное управление или хозяйственное ведение, в том числе крупные сделки и сделки, в совершении которых имеется заинтересованность руководителя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нести ответственность в соответствии с законодательством Российской Федерации за нарушение обязательств;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продукции, за счет результатов своей хозяйственной деятельности;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обеспечивать гарантированные законодательством Российской Федерации минимальный размер оплаты труда, условия труда и меры социальной защиты своих работников;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обеспечивать своевременно и в полном объеме выплату работникам заработной платы в соответствии с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в сроки, установленные законодательством Российской Федерации и муниципальными правовыми актами.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Не позднее 1 апреля </w:t>
      </w:r>
      <w:r>
        <w:rPr>
          <w:rFonts w:ascii="Times New Roman" w:eastAsia="Times New Roman" w:hAnsi="Times New Roman" w:cs="Times New Roman"/>
          <w:sz w:val="24"/>
        </w:rPr>
        <w:t xml:space="preserve">направлять в Администрацию муниципального района «Бабынинский район» копии годового отчета (баланс с приложениями и пояснительной запиской) с отметкой о принятии его налоговым органом для утверждения его показателей. За ненадлежащее исполнение обязанностей и искажение государственной отчетности должностные лица Предприятия несут ответственность, установленную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формировать из остающейся в распоряжении Предприятия в соответствии с установленным порядком прибыли следующие фонды: резервный,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развития производства, развития социальной сферы и материального поощрения</w:t>
      </w:r>
      <w:r>
        <w:rPr>
          <w:rFonts w:ascii="Times New Roman" w:eastAsia="Times New Roman" w:hAnsi="Times New Roman" w:cs="Times New Roman"/>
          <w:sz w:val="24"/>
        </w:rPr>
        <w:t xml:space="preserve">. Размеры этих фондов устанавливаются муниципальными правовыми актами и указываются в Плане (программе) финансово-хозяйственной деятельности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использовать средства резервного фонда исключительно на покрытие убытков Предприятия. Средства остальных сформированных фондов направляются исключительно на цели, согласно которым они сформированы, в соответствии с муниципальными нормативными правовыми актами;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выполнять государственные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муниципальными правовыми актами;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представлять отчетность об эффективности деятельности Предприятия уполномоченному органу Администрации муниципального района «Бабынинский район»;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представлять бухгалтерскую документацию и материалы по финансово-хозяйственной деятельности Предприятия для проведения аудиторской проверки по требованию Администрации муниципального района «Бабынинский район»;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обеспечивать хранение документов Предприятия в порядке, установленном законодательством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представлять на утверждение План (программу) финансово-хозяйственной деятельности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осуществлять регистрацию своих заимствований у третьих лиц в соответствии с законодательством;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ежегодно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 и муниципальными правовыми актами;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 решению собственника имущества Предприятия, определившего аудитора и стоимость его услуг, проводить за счет средств Предприятия аудиторскую проверку деятельности Предприятия в порядке и на условиях, установленных законодательством.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УПРАВЛЕНИЕ ПРЕДПРИЯТИЕМ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 Права, полномочия собственника имущества Предприятия, не указанные в настоящем Уставе, определяются в соответствии со </w:t>
      </w:r>
      <w:hyperlink r:id="rId9">
        <w:r>
          <w:rPr>
            <w:rFonts w:ascii="Times New Roman" w:eastAsia="Times New Roman" w:hAnsi="Times New Roman" w:cs="Times New Roman"/>
            <w:sz w:val="24"/>
            <w:color w:val="000000"/>
          </w:rPr>
          <w:t xml:space="preserve">ст. 20</w:t>
        </w:r>
      </w:hyperlink>
      <w:r>
        <w:rPr>
          <w:rFonts w:ascii="Times New Roman" w:eastAsia="Times New Roman" w:hAnsi="Times New Roman" w:cs="Times New Roman"/>
          <w:sz w:val="24"/>
          <w:color w:val="000000"/>
        </w:rPr>
        <w:t xml:space="preserve"> Федерального закона от 14.11.2002 № 161-ФЗ «О государственных и муниципальных унитарных предприятиях»</w:t>
      </w:r>
      <w:r>
        <w:rPr>
          <w:rFonts w:ascii="Times New Roman" w:eastAsia="Times New Roman" w:hAnsi="Times New Roman" w:cs="Times New Roman"/>
          <w:sz w:val="24"/>
        </w:rPr>
        <w:t xml:space="preserve">, другими актами законодательства Российской Федерации, нормативными правовыми актами муниципального района «Бабынинский район».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7.2. Единоличным исполнительным органом Предприятия является директор.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Предприятия назначается и освобождается от должности распоряжением Главы Администрации муниципального района «Бабынинский район».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Назначение руководителя Предприятия предшествует заключению с ним трудового договора.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7.3. Трудовой договор с руководителем Предприятия заключается, изменяется и прекращается в соответствии с действующим законодательством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7.4. Руководитель Предприятия подотчетен собственнику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Предприятия отчитывается о деятельности Предприятия в порядке и в сроки, которые определяются собственником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7.5. Руководитель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заключает, изменяет и прекращает с ними трудовые договоры, издает приказы, выдает доверенности в порядке, установленном законодательством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7.6. 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деятельностью,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7.7. Руководитель, действуя на основе единоначалия, самостоятельно решает вопросы руководства текущей деятельностью Предприятия, отнесенные к его компетенции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Федеральным </w:t>
      </w:r>
      <w:hyperlink r:id="rId5">
        <w:r>
          <w:rPr>
            <w:rFonts w:ascii="Times New Roman" w:eastAsia="Times New Roman" w:hAnsi="Times New Roman" w:cs="Times New Roman"/>
            <w:sz w:val="24"/>
            <w:color w:val="000000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4"/>
          <w:color w:val="000000"/>
        </w:rPr>
        <w:t xml:space="preserve"> от 14.11.2002 № 161-ФЗ «О государственных и муниципальных унитарных предприятиях»</w:t>
      </w:r>
      <w:r>
        <w:rPr>
          <w:rFonts w:ascii="Times New Roman" w:eastAsia="Times New Roman" w:hAnsi="Times New Roman" w:cs="Times New Roman"/>
          <w:sz w:val="24"/>
        </w:rPr>
        <w:t xml:space="preserve">, настоящим Уставом, трудовым договором, должностной инструкцией и решениями собственника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7.8. Руководитель Предприятия: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открывает в банках расчетный и другие счета;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подписывает исходящие и внутренние документы Предприятия, а также платежные и другие бухгалтерские документы;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контролирует работу и обеспечивает эффективное взаимодействие структурных подразделений и служб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обеспечивает соблюдение законности в деятельности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осуществляет иные полномочия, связанные с реализацией его компетенции.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Сделки, в совершении которых имеется заинтересованность руководителя Предприятия, а также крупные сделки совершаются с соблюдением правил </w:t>
      </w:r>
      <w:hyperlink r:id="rId10">
        <w:r>
          <w:rPr>
            <w:rFonts w:ascii="Times New Roman" w:eastAsia="Times New Roman" w:hAnsi="Times New Roman" w:cs="Times New Roman"/>
            <w:sz w:val="24"/>
            <w:color w:val="000000"/>
          </w:rPr>
          <w:t xml:space="preserve">ст. 22</w:t>
        </w:r>
      </w:hyperlink>
      <w:r>
        <w:rPr>
          <w:rFonts w:ascii="Times New Roman" w:eastAsia="Times New Roman" w:hAnsi="Times New Roman" w:cs="Times New Roman"/>
          <w:sz w:val="24"/>
          <w:color w:val="000000"/>
        </w:rPr>
        <w:t xml:space="preserve"> и </w:t>
      </w:r>
      <w:hyperlink r:id="rId11">
        <w:r>
          <w:rPr>
            <w:rFonts w:ascii="Times New Roman" w:eastAsia="Times New Roman" w:hAnsi="Times New Roman" w:cs="Times New Roman"/>
            <w:sz w:val="24"/>
            <w:color w:val="000000"/>
          </w:rPr>
          <w:t xml:space="preserve">23</w:t>
        </w:r>
      </w:hyperlink>
      <w:r>
        <w:rPr>
          <w:rFonts w:ascii="Times New Roman" w:eastAsia="Times New Roman" w:hAnsi="Times New Roman" w:cs="Times New Roman"/>
          <w:sz w:val="24"/>
          <w:color w:val="000000"/>
        </w:rPr>
        <w:t xml:space="preserve"> Федерального закона от 14.11.2002 № 161-ФЗ «О государственных и муниципальных унитарных предприятиях».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7.9. Руководитель Предприятия организует выполнение решений собственника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7.10. В случаях, предусмотренных законодательством Российской Федерации и настоящим Уставом, руководитель обязан получить согласие собственника имущества Предприятия на совершение сделок и осуществление других действий, относящихся к компетенции руководителя.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7.11. Для реализации своей компетенции директор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Приказы (распоряжения) и указания руководителя обязательны к исполнению всеми сотрудниками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7.12. Руководитель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7.13. 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</w:t>
      </w:r>
      <w:hyperlink r:id="rId12">
        <w:r>
          <w:rPr>
            <w:rFonts w:ascii="Times New Roman" w:eastAsia="Times New Roman" w:hAnsi="Times New Roman" w:cs="Times New Roman"/>
            <w:sz w:val="24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ХРАНЕНИЕ ДОКУМЕНТОВ ПРЕДПРИЯТИЯ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 Предприятие обязано хранить следующие документы: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решения о создании Предприятия, документы о закреплении за Предприятием имущества, об утверждении перечня и денежной оценки, имущества, закрепляемого за Предприятием, а также иные решения, связанные с созданием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документ, подтверждающий государственную регистрацию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документы, подтверждающие права Предприятия на имущество, находящееся на его балансе;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внутренние документы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положения о филиалах и представительствах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-решения собственника имущества Предприятия, касающиеся деятельности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аудиторские заключения, заключения органов государственного или муниципального финансового контроля;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8.2. Предприятие хранит указанные документы по месту нахождения его руководителя или в ином определенном Уставом Предприятия месте.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8.3. При ликвидации Предприятия указанные документы передаются на хранение в архив в порядке, установленном законодательством Российской Федерации.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РЕОРГАНИЗАЦИЯ И ЛИКВИДАЦИЯ ПРЕДПРИЯТИЯ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9.1. Реорганизация Предприятия без изменения формы собственности на переданное ему имущество осуществляется в установленном законодательством Российской Федерации и муниципальными правовыми актами порядке.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9.2. В случаях, установленных законом, реорганизация Предприятия в форме разделения, выделения или преобразования в муниципальное учреждение осуществляется по решению собственника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случаях, установленных законом, реорганизация Предприятия в форме его присоединения, слияния или преобразования в хозяйственное общество осуществляется по решению собственника имущества Предприятия или по решению суда.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9.3. 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 Предприятия к его правопреемнику в соответствии с законодательством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реорганизации Предприятия в форме разделения, выделения, присоединения, слияния разделительный баланс и/или передаточный акт, содержащий положение о правопреемстве по обязательствам реорганизуемого Предприятия, утверждается собственником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реорганизации Предприятия в форме преобразования в муниципальное учреждение передаточный акт, содержащий положение о правопреемстве по обязательствам реорганизуемого Предприятия, утверждается собственником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реорганизации Предприятия в форме присоединения к нему другого юридического лица Предприятие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9.4. Предприятие может быть ликвидировано в порядке, установленном законодательством Российской Федерации, и по решению собственника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9.5. Ликвидация Предприятия влечет прекращение его деятельности без перехода прав и обязанностей в порядке правопреемства к другим лицам.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образования ликвидационной комиссии определяется при принятии решения о ликвидации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9.6. С момента назначения ликвидационной комиссии к ней переходят полномочия по управлению Предприятием. Ликвидационная комиссия составляет ликвидационный баланс и представляет на утверждение собственнику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9.7. Имущество и денежные средства Предприятия, оставшиеся после удовлетворения требований кредиторов и завершения ликвидации Предприятия, передаются ликвидационной комиссией собственнику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9.8. Ликвидация Предприятия считается завершенной, а Предприятие - прекратившим свою деятельность с момента исключения его из Единого государственного реестра юридических лиц. Порядок ликвидации Предприятия устанавливается законами и иными нормативными актами Российской Федерации и муниципальными правовыми актами.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9.9. 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9.10. В случае реорганизации Предприятия все документы (управленческие, финансово-хозяйственные, по личному составу и другие) передаются в установленном порядке правопреемнику. В случае ликвидации Предприятия документы постоянного хранения, имеющие научно-историческое значение, документы по личному составу (приказы, личные дела и другие) передаются в муниципальный архив.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Передача и упорядочение документов осуществляются силами и за счет средств Предприятия в соответствии с требованиями архивных органов.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9.11. Изменение вида Предприятия осуществляется по решению собственника имущества Предприятия.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9.12. Изменения и дополнения в Устав Предприятия, в том числе и при изменении вида Предприятия, вносятся решением Районного Собрания муниципального района «Бабынинский район» и регистрируются в установленном порядке.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567" w:top="1134" w:bottom="1134" w:gutter="0" w:header="709" w:footer="709"/>
      <w:titlePg/>
      <w:headerReference w:type="even" r:id="rId14"/>
      <w:headerReference w:type="first" r:id="rId15"/>
      <w:headerReference w:type="default" r:id="rId16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/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   \* MERGEFORMAT">
      <w:r>
        <w:rPr>
          <w:rFonts w:ascii="Times New Roman" w:eastAsia="Times New Roman" w:hAnsi="Times New Roman" w:cs="Times New Roman"/>
          <w:sz w:val="24"/>
        </w:rPr>
        <w:t xml:space="preserve">13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12225599">
    <w:multiLevelType w:val="hybridMultilevel"/>
    <w:tmpl w:val="779c363c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364093124">
    <w:multiLevelType w:val="hybridMultilevel"/>
    <w:tmpl w:val="1ffc91c2"/>
    <w:lvl w:ilvl="0">
      <w:lvlJc w:val="left"/>
      <w:lvlText w:val="%1)"/>
      <w:numFmt w:val="decimal"/>
      <w:start w:val="1"/>
      <w:suff w:val="tab"/>
      <w:pPr>
        <w:ind w:hanging="720" w:left="1062" w:start="1062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726759695">
    <w:multiLevelType w:val="multilevel"/>
    <w:tmpl w:val="ffffffff"/>
    <w:lvl w:ilvl="0">
      <w:lvlJc w:val="left"/>
      <w:lvlText w:val="1.%1."/>
      <w:numFmt w:val="decimal"/>
      <w:start w:val="1"/>
      <w:suff w:val="tab"/>
      <w:rPr>
        <w:b w:val="false"/>
        <w:w w:val="100"/>
        <w:spacing w:val="3"/>
        <w:rFonts w:ascii="Times New Roman" w:eastAsia="Times New Roman" w:hAnsi="Times New Roman" w:cs="Times New Roman"/>
        <w:sz w:val="21"/>
        <w:i w:val="false"/>
        <w:smallCaps w:val="false"/>
        <w:strike w:val="false"/>
        <w:color w:val="000000"/>
        <w:position w:val="0"/>
      </w:rPr>
    </w:lvl>
    <w:lvl w:ilvl="1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312225599"/>
  </w:num>
  <w:num w:numId="2">
    <w:abstractNumId w:val="1364093124"/>
  </w:num>
  <w:num w:numId="3">
    <w:abstractNumId w:val="1726759695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1C56AE66723B7497013C0FB634F195670840AB18235488F06C6E19E7DF6E598F1T5m4L" TargetMode="External"/><Relationship Id="rId4" Type="http://schemas.openxmlformats.org/officeDocument/2006/relationships/hyperlink" Target="consultantplus://offline/ref=F1C56AE66723B7497013C0FB634F195670840AB182354F870DCAE19E7DF6E598F154A48AD9309EA8FFCC1E70TCmDL" TargetMode="External"/><Relationship Id="rId5" Type="http://schemas.openxmlformats.org/officeDocument/2006/relationships/hyperlink" Target="consultantplus://offline/ref=EEE55F3E6D8BB49EA1AF22B517684F11769EE6E0951AECEA77E89D2377X0mCJ" TargetMode="External"/><Relationship Id="rId6" Type="http://schemas.openxmlformats.org/officeDocument/2006/relationships/hyperlink" Target="\l%20Par76" TargetMode="External"/><Relationship Id="rId7" Type="http://schemas.openxmlformats.org/officeDocument/2006/relationships/hyperlink" Target="\l%20Par77" TargetMode="External"/><Relationship Id="rId8" Type="http://schemas.openxmlformats.org/officeDocument/2006/relationships/hyperlink" Target="\l%20Par78" TargetMode="External"/><Relationship Id="rId9" Type="http://schemas.openxmlformats.org/officeDocument/2006/relationships/hyperlink" Target="consultantplus://offline/ref=EEE55F3E6D8BB49EA1AF22B517684F11769EE6E0951AECEA77E89D23770CC3B445D6A4AF65700103XDm7J" TargetMode="External"/><Relationship Id="rId10" Type="http://schemas.openxmlformats.org/officeDocument/2006/relationships/hyperlink" Target="consultantplus://offline/ref=EEE55F3E6D8BB49EA1AF22B517684F11769EE6E0951AECEA77E89D23770CC3B445D6A4AF65700205XDm1J" TargetMode="External"/><Relationship Id="rId11" Type="http://schemas.openxmlformats.org/officeDocument/2006/relationships/hyperlink" Target="consultantplus://offline/ref=EEE55F3E6D8BB49EA1AF22B517684F11769EE6E0951AECEA77E89D23770CC3B445D6A4AF65700204XDm7J" TargetMode="External"/><Relationship Id="rId12" Type="http://schemas.openxmlformats.org/officeDocument/2006/relationships/hyperlink" Target="consultantplus://offline/ref=EEE55F3E6D8BB49EA1AF22B517684F117691ECE6941DECEA77E89D2377X0mCJ" TargetMode="External"/><Relationship Id="rId13" Type="http://schemas.openxmlformats.org/officeDocument/2006/relationships/theme" Target="theme/theme1.xm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otnotes" Target="footnotes.xml"/><Relationship Id="rId18" Type="http://schemas.openxmlformats.org/officeDocument/2006/relationships/endnotes" Target="endnotes.xml"/><Relationship Id="rId19" Type="http://schemas.openxmlformats.org/officeDocument/2006/relationships/numbering" Target="numbering.xml"/><Relationship Id="rId20" Type="http://schemas.openxmlformats.org/officeDocument/2006/relationships/styles" Target="styles.xml"/><Relationship Id="rId21" Type="http://schemas.openxmlformats.org/officeDocument/2006/relationships/fontTable" Target="fontTable.xml"/><Relationship Id="rId2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13</Pages>
  <Words>5123</Words>
  <Characters>29203</Characters>
  <CharactersWithSpaces>34258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Артюхина Л.Н.</dc:creator>
</cp:coreProperties>
</file>