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 27.12.2017 г.                                                                                                                                                № 145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включении в реестр муниципальной собственности  недвижимого имущества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spacing w:val="2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муниципальной казне МР «Бабынинский район», утвержденным решением Районного Собрания МР «Бабынинский район» от 05.10.2006г. №94 «Об утверждении Положения «О муниципальной казне МР «Бабынинский район», Решением Сельской Думы МО СП «Поселок Бабынино» №115 от 26.12.2017 года «О безвозмездной передачи из собственности СП «Поселок Бабынино» в собственность МР «Бабынинский район» недвижимого имущества»,</w:t>
      </w: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 здание котельной, назначение: нежилое, 1-этажное, площадь 55,1 кв.м, инв. № 1977, стр. 1а,1б,  адрес объекта: Калужская область, Бабынинский район, п.Бабынино, ул. Новая  с </w:t>
      </w:r>
      <w:r>
        <w:rPr>
          <w:rFonts w:ascii="Times New Roman" w:eastAsia="Times New Roman" w:hAnsi="Times New Roman" w:cs="Times New Roman"/>
          <w:sz w:val="26"/>
        </w:rPr>
        <w:t xml:space="preserve"> кадастровым номером 40:01:180202:522.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А.И. Захаров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199</Words>
  <Characters>1135</Characters>
  <CharactersWithSpaces>1332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