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от 21.05.2019 г.                                                                                                               № 238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 в решение  Районного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Собрания МР «Бабынинский    район»   №  84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 14.07.2011 г. «Об   определении   стоимости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услуг по погребению»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ст. 9 Федерального закона от 12.01.1996 N 8-ФЗ «О погребении и похоронном деле», Районное Собрание муниципального района «Бабынинский район» 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РЕШИЛО:</w:t>
      </w:r>
    </w:p>
    <w:p>
      <w:pPr>
        <w:jc w:val="both"/>
        <w:textAlignment w:val="auto"/>
        <w:ind w:firstLine="36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изменения в решение Районного Собрания МР «Бабынинский район» № 84 от 14.07.2011года «Об определения стоимости услуг по погребению» (далее - решение) следующего содержания: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Приложение № 1  к решению изложить в новой редакции (приложение № 1 к настоящему решению);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 к решению изложить в новой редакции (приложение № 2 к настоящему решению)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Считать утратившими силу решение Районного Собрания МР «Бабынинский район» от 14.02.2019 года № 218 «О внесении изменений в решение Районного Собрания МР «Бабынинский район» № 84 от 14.07.2011 года «Об определении стоимости  услуг по погребению» и решение Районного Собрания МР «Бабынинский район» от 16.04.2019 года № 231 «О внесении изменений в решение Районного Собрания МР «Бабынинский район» № 84 от 14.07.2011 года «Об определении стоимости  услуг по погребению»</w:t>
      </w:r>
    </w:p>
    <w:p>
      <w:pPr>
        <w:jc w:val="both"/>
        <w:textAlignment w:val="auto"/>
        <w:ind w:firstLine="360" w:left="0" w:right="0" w:start="0" w:end="0"/>
        <w:spacing w:after="0" w:line="240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1 февраля 2019 года.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«Бабынинский район»                                                                         А.И.Захаров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1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муниципального района «Бабынинский район 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от 21.05. 2019года № 238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              Приложение № 1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муниципального района «Бабынинский район 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     от 14 июля 2011 года № 84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СТОИМОСТЬ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ГАРАНТИРОВАННЫХ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 УСЛУГ, ОКАЗЫВАЕМЫХ СПЕЦИАЛИЗИРОВАННОЙ СЛУЖБОЙ ПО ВОПРОСАМ ПОХОРОННОГО ДЕЛА НА БЕЗВОЗМЕЗДНОЙ ОСНОВЕ СУПРУГУ, БЛИЗКИМ РОДСТВЕННИКАМ, ИНЫМ РОДСТВЕННИКАМ, ЗАКОННОМУ ПРЕДСТАВИТЕЛЮ ИЛИ ИНОМУ ЛИЦУ, ВЗЯВШЕМУ НА СЕБЯ ОБЯЗАННОСТИ ОСУЩЕСТВИТЬ ПОГРЕБЕНИЕ УМЕРШЕГО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784"/>
        <w:gridCol w:w="7407"/>
        <w:gridCol w:w="1380"/>
      </w:tblGrid>
      <w:tr>
        <w:tc>
          <w:tcPr>
            <w:tcW w:type="dxa" w:w="78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п/п</w:t>
            </w:r>
          </w:p>
        </w:tc>
        <w:tc>
          <w:tcPr>
            <w:tcW w:type="dxa" w:w="740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услуг</w:t>
            </w:r>
          </w:p>
        </w:tc>
        <w:tc>
          <w:tcPr>
            <w:tcW w:type="dxa" w:w="138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Тариф без НДС (руб.)</w:t>
            </w:r>
          </w:p>
        </w:tc>
      </w:tr>
      <w:tr>
        <w:tc>
          <w:tcPr>
            <w:tcW w:type="dxa" w:w="78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</w:t>
            </w:r>
          </w:p>
        </w:tc>
        <w:tc>
          <w:tcPr>
            <w:tcW w:type="dxa" w:w="740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Оформление документов, необходимых для погребения</w:t>
            </w:r>
          </w:p>
        </w:tc>
        <w:tc>
          <w:tcPr>
            <w:tcW w:type="dxa" w:w="138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Бесплатно </w:t>
            </w:r>
          </w:p>
        </w:tc>
      </w:tr>
      <w:tr>
        <w:tc>
          <w:tcPr>
            <w:tcW w:type="dxa" w:w="78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</w:t>
            </w:r>
          </w:p>
        </w:tc>
        <w:tc>
          <w:tcPr>
            <w:tcW w:type="dxa" w:w="740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Предоставление и доставка гроба и других предметов, необходимых для погребения</w:t>
            </w:r>
          </w:p>
        </w:tc>
        <w:tc>
          <w:tcPr>
            <w:tcW w:type="dxa" w:w="138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2146,17</w:t>
            </w:r>
          </w:p>
        </w:tc>
      </w:tr>
      <w:tr>
        <w:tc>
          <w:tcPr>
            <w:tcW w:type="dxa" w:w="78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3.</w:t>
            </w:r>
          </w:p>
        </w:tc>
        <w:tc>
          <w:tcPr>
            <w:tcW w:type="dxa" w:w="740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Перевозка тела (останков) умершего на кладбище (в крематорий)</w:t>
            </w:r>
          </w:p>
        </w:tc>
        <w:tc>
          <w:tcPr>
            <w:tcW w:type="dxa" w:w="138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1765,62</w:t>
            </w:r>
          </w:p>
        </w:tc>
      </w:tr>
      <w:tr>
        <w:tc>
          <w:tcPr>
            <w:tcW w:type="dxa" w:w="78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4.</w:t>
            </w:r>
          </w:p>
        </w:tc>
        <w:tc>
          <w:tcPr>
            <w:tcW w:type="dxa" w:w="740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Погребение (кремация с последующей выдачей урны с прахом)</w:t>
            </w:r>
          </w:p>
        </w:tc>
        <w:tc>
          <w:tcPr>
            <w:tcW w:type="dxa" w:w="138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2034,68</w:t>
            </w:r>
          </w:p>
        </w:tc>
      </w:tr>
      <w:tr>
        <w:tc>
          <w:tcPr>
            <w:tcW w:type="dxa" w:w="819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</w:t>
            </w:r>
          </w:p>
        </w:tc>
        <w:tc>
          <w:tcPr>
            <w:tcW w:type="dxa" w:w="138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5946,47</w:t>
            </w:r>
          </w:p>
        </w:tc>
      </w:tr>
    </w:tbl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Приложение № 2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      к решению Районного Собрания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муниципального района «Бабынинский район 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              от 21.05. 2019 года №  238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              Приложение № 2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   к решению Районного Собрания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муниципального района «Бабынинский район 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     от «14» июля 2011 года № 84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СТОИМОСТЬ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ГАРАНТИРОВАННЫХ УСЛУГ ПРИ ОСУЩЕСТВЛЕНИИ СПЕЦИАЛИЗИРОВАННОЙ СЛУЖБОЙ ПО ВОПРОСАМ ПОХОРОННОГО ДЕЛА ПОГРЕБЕНИЯ УМЕРШЕГО (ПОГИБШЕГО), НЕ ИМЕЮЩЕГО СУПРУГА, БЛИЗКИХ РОДСТВЕНИКОВ, ИНЫХ РОДСТВЕННИКОВ ЛИБО ЗАКОННОГО ПРЕДСТАВИТЕЛЯ УМЕРШЕГО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782"/>
        <w:gridCol w:w="7421"/>
        <w:gridCol w:w="1368"/>
      </w:tblGrid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п/п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услуг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Тариф без НДС (руб.)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Оформление документов, необходимых для погребения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Бесплатно 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Облачение тела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85,00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Предоставление гроба 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2061,17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Перевозка умершего на кладбище (в крематорий)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1765,62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Погребение 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2034,68</w:t>
            </w:r>
          </w:p>
        </w:tc>
      </w:tr>
      <w:tr>
        <w:tc>
          <w:tcPr>
            <w:tcW w:type="dxa" w:w="82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5946,47</w:t>
            </w:r>
          </w:p>
        </w:tc>
      </w:tr>
    </w:tbl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Управляющий отделением ПФ РФ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по Калужской области</w:t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 xml:space="preserve">М.П.Локтев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altName w:val="Times New Roman"/>
    <w:panose1 w:val="00000000000000000000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0000000000000000000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altName w:val="Times New Roman"/>
    <w:family w:val="swiss"/>
    <w:charset w:val="00"/>
    <w:pitch w:val="variable"/>
  </w:font>
  <w:font w:name="Tahoma CE">
    <w:altName w:val="Times New Roman"/>
    <w:family w:val="swiss"/>
    <w:charset w:val="EE"/>
    <w:pitch w:val="variable"/>
  </w:font>
  <w:font w:name="Tahoma Greek">
    <w:altName w:val="Times New Roman"/>
    <w:family w:val="swiss"/>
    <w:charset w:val="A1"/>
    <w:pitch w:val="variable"/>
  </w:font>
  <w:font w:name="Tahoma Tur">
    <w:altName w:val="Times New Roman"/>
    <w:family w:val="swiss"/>
    <w:charset w:val="A2"/>
    <w:pitch w:val="variable"/>
  </w:font>
  <w:font w:name="Tahoma (Hebrew)">
    <w:altName w:val="Times New Roman"/>
    <w:family w:val="swiss"/>
    <w:charset w:val="B1"/>
    <w:pitch w:val="variable"/>
  </w:font>
  <w:font w:name="Tahoma (Arabic)">
    <w:altName w:val="Times New Roman"/>
    <w:family w:val="swiss"/>
    <w:charset w:val="B2"/>
    <w:pitch w:val="variable"/>
  </w:font>
  <w:font w:name="Tahoma Baltic">
    <w:altName w:val="Times New Roman"/>
    <w:family w:val="swiss"/>
    <w:charset w:val="BA"/>
    <w:pitch w:val="variable"/>
  </w:font>
  <w:font w:name="Tahoma (Vietnamese)">
    <w:altName w:val="Times New Roman"/>
    <w:family w:val="swiss"/>
    <w:charset w:val="A3"/>
    <w:pitch w:val="variable"/>
  </w:font>
  <w:font w:name="Tahoma (Thai)">
    <w:altName w:val="Times New Roman"/>
    <w:family w:val="swiss"/>
    <w:charset w:val="DE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82584009">
    <w:multiLevelType w:val="multilevel"/>
    <w:tmpl w:val="f3ca3e3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82584009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3</Pages>
  <Words>608</Words>
  <Characters>3470</Characters>
  <CharactersWithSpaces>4070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</cp:coreProperties>
</file>