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21.05.2019 г.                                                                                                           № 242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Об уполномоченном органе по осуществлению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оценки жилых помещений жилищного фонда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Arial" w:eastAsia="Arial" w:hAnsi="Arial" w:cs="Arial"/>
          <w:sz w:val="26"/>
          <w:kern w:val="28"/>
        </w:rPr>
      </w:pP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муниципального района «Бабынинский район», </w:t>
      </w:r>
    </w:p>
    <w:p>
      <w:pPr>
        <w:jc w:val="both"/>
        <w:textAlignment w:val="auto"/>
        <w:ind w:firstLine="708"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708"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</w:t>
      </w:r>
      <w:r>
        <w:rPr>
          <w:b w:val="true"/>
          <w:rFonts w:ascii="Times New Roman" w:eastAsia="Times New Roman" w:hAnsi="Times New Roman" w:cs="Times New Roman"/>
          <w:sz w:val="24"/>
        </w:rPr>
        <w:t xml:space="preserve">РЕШИЛО: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Определить администрацию (исполнительно-распорядительный орган) муниципального района «Бабынинский район» уполномоченным органом по осуществлению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фонда.</w:t>
      </w:r>
    </w:p>
    <w:p>
      <w:pPr>
        <w:jc w:val="both"/>
        <w:textAlignment w:val="auto"/>
        <w:ind w:firstLine="567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официального опубликования. 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А.И.Захаров</w:t>
      </w:r>
    </w:p>
    <w:p>
      <w:pPr>
        <w:jc w:val="center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1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altName w:val="Times New Roman"/>
    <w:panose1 w:val="00000000000000000000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 Light">
    <w:panose1 w:val="020f03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altName w:val="Times New Roman"/>
    <w:family w:val="swiss"/>
    <w:charset w:val="00"/>
    <w:pitch w:val="variable"/>
  </w:font>
  <w:font w:name="Tahoma CE">
    <w:altName w:val="Times New Roman"/>
    <w:family w:val="swiss"/>
    <w:charset w:val="EE"/>
    <w:pitch w:val="variable"/>
  </w:font>
  <w:font w:name="Tahoma Greek">
    <w:altName w:val="Times New Roman"/>
    <w:family w:val="swiss"/>
    <w:charset w:val="A1"/>
    <w:pitch w:val="variable"/>
  </w:font>
  <w:font w:name="Tahoma Tur">
    <w:altName w:val="Times New Roman"/>
    <w:family w:val="swiss"/>
    <w:charset w:val="A2"/>
    <w:pitch w:val="variable"/>
  </w:font>
  <w:font w:name="Tahoma (Hebrew)">
    <w:altName w:val="Times New Roman"/>
    <w:family w:val="swiss"/>
    <w:charset w:val="B1"/>
    <w:pitch w:val="variable"/>
  </w:font>
  <w:font w:name="Tahoma (Arabic)">
    <w:altName w:val="Times New Roman"/>
    <w:family w:val="swiss"/>
    <w:charset w:val="B2"/>
    <w:pitch w:val="variable"/>
  </w:font>
  <w:font w:name="Tahoma Baltic">
    <w:altName w:val="Times New Roman"/>
    <w:family w:val="swiss"/>
    <w:charset w:val="BA"/>
    <w:pitch w:val="variable"/>
  </w:font>
  <w:font w:name="Tahoma (Vietnamese)">
    <w:altName w:val="Times New Roman"/>
    <w:family w:val="swiss"/>
    <w:charset w:val="A3"/>
    <w:pitch w:val="variable"/>
  </w:font>
  <w:font w:name="Tahoma (Thai)">
    <w:altName w:val="Times New Roman"/>
    <w:family w:val="swiss"/>
    <w:charset w:val="DE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 Light">
    <w:family w:val="swiss"/>
    <w:charset w:val="00"/>
    <w:pitch w:val="variable"/>
  </w:font>
  <w:font w:name="Calibri Light CE">
    <w:family w:val="swiss"/>
    <w:charset w:val="EE"/>
    <w:pitch w:val="variable"/>
  </w:font>
  <w:font w:name="Calibri Light Greek">
    <w:family w:val="swiss"/>
    <w:charset w:val="A1"/>
    <w:pitch w:val="variable"/>
  </w:font>
  <w:font w:name="Calibri Light Tur">
    <w:family w:val="swiss"/>
    <w:charset w:val="A2"/>
    <w:pitch w:val="variable"/>
  </w:font>
  <w:font w:name="Calibri Light (Hebrew)">
    <w:family w:val="swiss"/>
    <w:charset w:val="B1"/>
    <w:pitch w:val="variable"/>
  </w:font>
  <w:font w:name="Calibri Light (Arabic)">
    <w:family w:val="swiss"/>
    <w:charset w:val="B2"/>
    <w:pitch w:val="variable"/>
  </w:font>
  <w:font w:name="Calibri Light Baltic">
    <w:family w:val="swiss"/>
    <w:charset w:val="BA"/>
    <w:pitch w:val="variable"/>
  </w:font>
  <w:font w:name="Calibri Light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207</Words>
  <Characters>1182</Characters>
  <CharactersWithSpaces>1387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