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4" Type="http://schemas.openxmlformats.org/officeDocument/2006/relationships/extended-properties" Target="docProps/app.xml"/><Relationship Id="rId15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28.11.2017 г.                                                                                                         № 126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прогнозного плана (программы)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приватизации муниципального имущества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на  2018 год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В соответствии с Федеральным законом «Об общих принципах организации местного самоуправления в Российской Федерации» от 06.10.2003 года № 131-ФЗ,  руководствуясь Уставом МР «Бабынинский район», руководствуясь Правилами разработки прогнозного плана (программы) приватизации муниципального имущества муниципального района «Бабынинский район», утвержденными решением Районного Собрания МО «Бабынинский район» 25.04.2013 г. № 220,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прогнозный план</w:t>
        </w:r>
      </w:hyperlink>
      <w:r>
        <w:rPr>
          <w:rFonts w:ascii="Times New Roman" w:eastAsia="Times New Roman" w:hAnsi="Times New Roman" w:cs="Times New Roman"/>
          <w:sz w:val="26"/>
        </w:rPr>
        <w:t xml:space="preserve"> (программу) приватизации муниципального имущества МР "Бабынинский район" на 2018 год в соответствии с приложением к настоящему решению.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7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outlineLvl w:val="0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Приложение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решению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Районного Собрания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муниципального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"Бабынинский район"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 28.11.2017  г. № 126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Par33"/>
      <w:bookmarkEnd w:id="1"/>
      <w:r>
        <w:rPr>
          <w:b w:val="true"/>
          <w:rFonts w:ascii="Times New Roman" w:eastAsia="Times New Roman" w:hAnsi="Times New Roman" w:cs="Times New Roman"/>
          <w:sz w:val="26"/>
        </w:rPr>
        <w:t xml:space="preserve">ПРОГНОЗНЫЙ ПЛАН (ПРОГРАММА)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ПРИВАТИЗАЦИИ МУНИЦИПАЛЬНОГО ИМУЩЕСТВА МР "БАБЫНИНСКИЙ РАЙОН"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НА 2018 ГОД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Раздел 1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Прогнозный план (программа) приватизации муниципального имущества МР "Бабынинский район" на 2018 год (далее по тексту - Программа приватизации) разработан 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21.12.2001 N 178-ФЗ "О приватизации государственного и муниципального имущества",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"Бабынинский район",  руководствуясь Правилами разработки прогнозного плана (программы) приватизации муниципального имущества муниципального района «Бабынинский район», утвержденными решением Районного Собрания МО «Бабынинский район» 25.04.2013 г. № 220.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Основной задачей приватизации муниципального имущества в 2018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МР "Бабынинский район".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направлениями политики муниципального района "Бабынинский район" в 2018 году являются: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обеспечение поступления неналоговых доходов в бюджет муниципального района от приватизации муниципального имущества;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сокращение расходов из бюджета муниципального района на содержание неэффективно используемого имущества.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Основные принципы формирования Программы приватизации: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экономически обоснованный выбор объектов, подлежащих приватизации (аренда которых не обеспечивает соответствующего поступления средств в бюджет муниципального района; с неудовлетворительным техническим состоянием; не востребованных на рынке аренды);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установление способов приватизации, обеспечивающих максимальный доход бюджета муниципального района.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имущества, аудиторской проверки муниципальных предприятий. Начальная цена продажи объектов будет устанавливаться на основании рыночной стоимости, определенной в соответствии с требованиями Федерального </w:t>
      </w:r>
      <w:hyperlink r:id="rId7">
        <w:r>
          <w:rPr>
            <w:rFonts w:ascii="Times New Roman" w:eastAsia="Times New Roman" w:hAnsi="Times New Roman" w:cs="Times New Roman"/>
            <w:sz w:val="26"/>
          </w:rPr>
          <w:t xml:space="preserve">закона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29.07.1998 N 135-ФЗ "Об оценочной деятельности в Российской Федерации".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Согласно прилагаемому перечню предполагается приватизировать в 2018 году 26</w:t>
      </w:r>
      <w:r>
        <w:rPr>
          <w:rFonts w:ascii="Times New Roman" w:eastAsia="Times New Roman" w:hAnsi="Times New Roman" w:cs="Times New Roman"/>
          <w:sz w:val="26"/>
          <w:color w:val="ff000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(двадцать шесть) объектов. Прогнозируемое поступление в бюджет от продажи муниципального имущества – 26 757350,45</w:t>
      </w:r>
      <w:r>
        <w:rPr>
          <w:rFonts w:ascii="Times New Roman" w:eastAsia="Times New Roman" w:hAnsi="Times New Roman" w:cs="Times New Roman"/>
          <w:sz w:val="26"/>
          <w:color w:val="ff000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(двадцать шесть миллионов семьсот пятьдесят семь  тысяч триста пятьдесят рублей 45 копеек).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процесса приватизации структурных изменений в экономике МР "Бабынинский район" не произойдет по следующим причинам: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представленное к приватизации имущество не используется, в связи с этим смена собственника существенным образом не отразится на экономической ситуации.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Планируемые поступления в бюджет МР "Бабынинский район" от приватизации муниципального имущества в 2018 году предполагается обеспечить за счет продажи муниципального имущества.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Отчеты о результатах приватизации муниципального имущества представляются в Районное Собрание МР "Бабынинский район" и уполномоченный орган Правительства Калужской области не позднее 1 марта следующего за отчетным периодом года.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Раздел 2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ПЕРЕЧЕНЬ МУНИЦИПАЛЬНОГО ИМУЩЕСТВА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"БАБЫНИНСКИЙ РАЙОН",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ПОДЛЕЖАЩЕГО ПРИВАТИЗАЦИИ В 2018 ГОДУ</w:t>
      </w:r>
    </w:p>
    <w:tbl>
      <w:tblPr>
        <w:tblLayout w:type="fixed"/>
        <w:tblInd w:w="0" w:type="dxa"/>
        <w:tblpPr w:leftFromText="180" w:rightFromText="180" w:horzAnchor="margin" w:tblpXSpec="center" w:vertAnchor="text" w:tblpY="162"/>
        <w:tblW w:w="10252" w:type="dxa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88"/>
        <w:gridCol w:w="2126"/>
        <w:gridCol w:w="2126"/>
        <w:gridCol w:w="992"/>
        <w:gridCol w:w="851"/>
        <w:gridCol w:w="850"/>
        <w:gridCol w:w="1729"/>
        <w:gridCol w:w="1090"/>
      </w:tblGrid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 п/п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предполагаемого объекта, назначение объекта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Адрес объекта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Площадь кв. м/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Способ приватизации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Срок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Номер свидетельства о государственной регистрации права, номер и дата государственной регистрации права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Ожидаемый доход (руб.)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Линии электропередач, назначение: сооружения энергетики и электропередачи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Газопровод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40:01:070602:785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293,0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109987 о 15.12.2010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132116,79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Линии электропередач, назначение: сооружения энергетики и электропередачи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Газопровод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40:01:070601:192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282,5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109988 от 16.12.2010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77289,28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двух 16-ти квартирных жилых домов, назначение: электроснабжения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155,0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638766 от 23.12.2013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44695,70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очистных сооружений, назначение: электроснабжения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62,0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638763 от 23.12.2013 г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17878,28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жилых домов , назначение: электроснабжения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492,0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638762 от 23.12.2013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141872,80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жилых домов,  назначение: электроснабжения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1674,0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638764 от 23.12.2013 г. 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482713,56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коттеджей,  назначение: электроснабжения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260,0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638765 от 23.12.2013 г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74973,43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Комплексная трансформаторная подстанция (ктп № 192), назначение: сооружение электроэнергетики  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Утешево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097845 от 03.11.2015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442566,86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Комплексная трансформаторная подстанция (ктп № 254А), назначение: сооружение электроэнергетики    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40:01:130102:171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5,8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097846 от 03.11.2015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442566,86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 (бывшего) детского сада с пристройками;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Муромцево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122,6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086459 от 03.02.2003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1029840,00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(бывшей) школы;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Кумовское, ул. Сельская,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398,0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КЯ № 105694 от 19.07.2007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3382276,91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Моторная, д. 5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93,6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051484 от 29.07.2010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476205,91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пилорамы;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259,6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471827 от 18.02.2013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2180640,00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31б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148,4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138000 от 26.05.2016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700473,23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613,8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222002 от 26.05.2016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2797988,89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31в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217,4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222001 от 26.05.2016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1048215,84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 Рындинская участковая больница (бывшая); назначение: нежилое здание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363,6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40:01:030103:146-40/015/2017-1 от 17.03.2017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2108200,07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гаража;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54,2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078316 от 31.08.2010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616647,00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амбулатории;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101,1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078317 от 31.08.2010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696454,29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хозяйственного назначения (сарай) ; назначение: нежилое 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76,8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078318 от 31.08.2010 г. 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229503,86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конторы;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Лесная, д.10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118,5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137717 от 27.04.2016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2199998,71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проходной;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Лесная, д.10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15,7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137718 от 27.04.2016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131880,00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(бывшей) котельной;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315,2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309567 от 09.03.2005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2647680,00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(бывшей) механической мастерской;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392,6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305199 от 09.03.2005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3297840,00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25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(бывшего) телятника;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1592,0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309566 от 09.03.2005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13372800,00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Водонапорная башня «Рожновского» (закрытая);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1,2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7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309568 от 09.03.2005 г.</w:t>
            </w:r>
          </w:p>
        </w:tc>
        <w:tc>
          <w:tcPr>
            <w:tcW w:type="dxa" w:w="10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19552,18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</w:t>
            </w:r>
          </w:p>
        </w:tc>
        <w:tc>
          <w:tcPr>
            <w:tcW w:type="dxa" w:w="76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6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26757350,45</w:t>
            </w:r>
          </w:p>
        </w:tc>
      </w:tr>
    </w:tbl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709" w:bottom="719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800" w:start="180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960" w:start="396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680" w:start="468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120" w:start="612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1164590658"/>
  </w:num>
  <w:num w:numId="7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\l%20Par33%20%20\o%20&#1055;&#1056;&#1054;&#1043;&#1053;&#1054;&#1047;&#1053;&#1067;&#1049;%20&#1055;&#1051;&#1040;&#1053;%20(&#1055;&#1056;&#1054;&#1043;&#1056;&#1040;&#1052;&#1052;&#1040;)" TargetMode="External"/><Relationship Id="rId4" Type="http://schemas.openxmlformats.org/officeDocument/2006/relationships/hyperlink" Target="consultantplus://offline/ref=0BE340DDDA00432D7E881BBCD3908DC642B8BC35A099CCCA77DA30BDA46DM8L%20\o%20&#1060;&#1077;&#1076;&#1077;&#1088;&#1072;&#1083;&#1100;&#1085;&#1099;&#1081;%20&#1079;&#1072;&#1082;&#1086;&#1085;%20&#1086;&#1090;%2006.10.2003%20N%20131-&#1060;&#1047;%20(&#1088;&#1077;&#1076;.%20&#1086;&#1090;%2007.06.2017)%20\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\%20(&#1089;%20&#1080;&#1079;&#1084;.%20&#1080;%20&#1076;&#1086;&#1087;.,%20&#1074;&#1089;&#1090;&#1091;&#1087;.%20&#1074;%20&#1089;&#1080;&#1083;&#1091;%20&#1089;%2028.06.2017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consultantplus://offline/ref=0BE340DDDA00432D7E881BBCD3908DC642B8B535A79CCCCA77DA30BDA46DM8L%20\o%20&#1060;&#1077;&#1076;&#1077;&#1088;&#1072;&#1083;&#1100;&#1085;&#1099;&#1081;%20&#1079;&#1072;&#1082;&#1086;&#1085;%20&#1086;&#1090;%2021.12.2001%20N%20178-&#1060;&#1047;%20(&#1088;&#1077;&#1076;.%20&#1086;&#1090;%2001.07.2017)%20\&#1054;%20&#1087;&#1088;&#1080;&#1074;&#1072;&#1090;&#1080;&#1079;&#1072;&#1094;&#1080;&#1080;%20&#1075;&#1086;&#1089;&#1091;&#1076;&#1072;&#1088;&#1089;&#1090;&#1074;&#1077;&#1085;&#1085;&#1086;&#1075;&#1086;%20&#1080;%20&#1084;&#1091;&#1085;&#1080;&#1094;&#1080;&#1087;&#1072;&#1083;&#1100;&#1085;&#1086;&#1075;&#1086;%20&#1080;&#1084;&#1091;&#1097;&#1077;&#1089;&#1090;&#1074;&#1072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consultantplus://offline/ref=0BE340DDDA00432D7E8805B1C5FCD3C847B2E239AD97C19B28856BE0F3D1F5C66163274A3AC6B8D7766CFA62M3L%20\o%20&#1059;&#1089;&#1090;&#1072;&#1074;%20&#1084;&#1091;&#1085;&#1080;&#1094;&#1080;&#1087;&#1072;&#1083;&#1100;&#1085;&#1086;&#1075;&#1086;%20&#1088;&#1072;&#1081;&#1086;&#1085;&#1072;%20\&#1057;&#1091;&#1093;&#1080;&#1085;&#1080;&#1095;&#1089;&#1082;&#1080;&#1081;%20&#1088;&#1072;&#1081;&#1086;&#1085;\%20(&#1091;&#1090;&#1074;.%20&#1087;&#1086;&#1089;&#1090;&#1072;&#1085;&#1086;&#1074;&#1083;&#1077;&#1085;&#1080;&#1077;&#1084;%20&#1056;&#1072;&#1081;&#1086;&#1085;&#1085;&#1086;&#1081;%20&#1044;&#1091;&#1084;&#1099;%20&#1052;&#1054;%20\&#1057;&#1091;&#1093;&#1080;&#1085;&#1080;&#1095;&#1089;&#1082;&#1080;&#1081;%20&#1088;&#1072;&#1081;&#1086;&#1085;\%20&#1086;&#1090;%2017.08.2005%20N%2041)%20(&#1088;&#1077;&#1076;.%20&#1086;&#1090;%2028.09.2016)%20(&#1047;&#1072;&#1088;&#1077;&#1075;&#1080;&#1089;&#1090;&#1088;&#1080;&#1088;&#1086;&#1074;&#1072;&#1085;&#1086;%20&#1074;%20&#1043;&#1059;%20&#1052;&#1080;&#1085;&#1102;&#1089;&#1090;&#1072;%20&#1056;&#1060;%20&#1087;&#1086;%20&#1062;&#1077;&#1085;&#1090;&#1088;&#1072;&#1083;&#1100;&#1085;&#1086;&#1084;&#1091;%20&#1092;&#1077;&#1076;&#1077;&#1088;&#1072;&#1083;&#1100;&#1085;&#1086;&#1084;&#1091;%20&#1086;&#1082;&#1088;&#1091;&#1075;&#1091;%2014.11.2005%20N%20RU403020002005366)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consultantplus://offline/ref=0BE340DDDA00432D7E881BBCD3908DC642B8BC32A099CCCA77DA30BDA46DM8L%20\o%20&#1060;&#1077;&#1076;&#1077;&#1088;&#1072;&#1083;&#1100;&#1085;&#1099;&#1081;%20&#1079;&#1072;&#1082;&#1086;&#1085;%20&#1086;&#1090;%2029.07.1998%20N%20135-&#1060;&#1047;%20(&#1088;&#1077;&#1076;.%20&#1086;&#1090;%2003.07.2016,%20&#1089;%20&#1080;&#1079;&#1084;.%20&#1086;&#1090;%2005.07.2016)%20\&#1054;&#1073;%20&#1086;&#1094;&#1077;&#1085;&#1086;&#1095;&#1085;&#1086;&#1081;%20&#1076;&#1077;&#1103;&#1090;&#1077;&#1083;&#1100;&#1085;&#1086;&#1089;&#1090;&#1080;%20&#1074;%20&#1056;&#1086;&#1089;&#1089;&#1080;&#1081;&#1089;&#1082;&#1086;&#1081;%20&#1060;&#1077;&#1076;&#1077;&#1088;&#1072;&#1094;&#1080;&#1080;\%20(&#1089;%20&#1080;&#1079;&#1084;.%20&#1080;%20&#1076;&#1086;&#1087;.,%20&#1074;&#1089;&#1090;&#1091;&#1087;.%20&#1074;%20&#1089;&#1080;&#1083;&#1091;%20&#1089;%2001.07.2017)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theme" Target="theme/theme1.xml"/><Relationship Id="rId9" Type="http://schemas.openxmlformats.org/officeDocument/2006/relationships/footnotes" Target="footnotes.xml"/><Relationship Id="rId10" Type="http://schemas.openxmlformats.org/officeDocument/2006/relationships/endnotes" Target="endnotes.xml"/><Relationship Id="rId11" Type="http://schemas.openxmlformats.org/officeDocument/2006/relationships/numbering" Target="numbering.xml"/><Relationship Id="rId12" Type="http://schemas.openxmlformats.org/officeDocument/2006/relationships/styles" Target="styles.xml"/><Relationship Id="rId13" Type="http://schemas.openxmlformats.org/officeDocument/2006/relationships/fontTable" Target="fontTable.xml"/><Relationship Id="rId1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7</Pages>
  <Words>1681</Words>
  <Characters>9583</Characters>
  <CharactersWithSpaces>11242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