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16.02.2017                                                                                                            № 84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досрочном прекращении полномочий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Главы администрации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Калиничева Н.А.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Рассмотрев заявление Главы администрации муниципального района «Бабынинский район» Калиничева Николая Александровича от 16.02.17г. об увольнении с муниципальной службы в связи с отставкой по собственному желанию, руководствуюсь статьей 37 Федерального закона № 131-ФЗ от 06.10.2003 года «Об общих принципах организации местного самоуправления», статьей 39 Устава муниципального района «Бабынинский район», 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426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Удовлетворить заявление Калиничева Николая Александровича об увольнении с муниципальной службы в связи с отставкой по собственному желанию.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Прекратить 16 февраля 2017 года досрочно полномочия Главы администрации муниципального района «Бабынинский район» Калиничева Николая Александровича, освободить его от занимаемой должности муниципальной службы и уволить с муниципальной службы в связи с отставкой по собственному желанию, пункт 2 части 10 статьи 37 Федерального закона от 06.10.2003 г. №131-ФЗ «Об общих принципах организации местного самоуправления в Российской Федерации».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Главе муниципального района «Бабынинский район» Захарову А.И. расторгнуть 16.02.2017 г. трудовой контракт с Калиничевым Н.А.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 момента его принятия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«Бабынинский район»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701" w:right="850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388843756">
    <w:multiLevelType w:val="hybridMultilevel"/>
    <w:tmpl w:val="d30ad2c8"/>
    <w:lvl w:ilvl="0">
      <w:lvlJc w:val="left"/>
      <w:lvlText w:val="-"/>
      <w:numFmt w:val="bullet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388843756"/>
  </w:num>
  <w:num w:numId="2">
    <w:abstractNumId w:val="168258400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9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186</Words>
  <Characters>1531</Characters>
  <CharactersWithSpaces>1714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ФЕДЕРЦИЯ</dc:title>
  <dc:creator>yudina</dc:creator>
</cp:coreProperties>
</file>